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7048D" w14:textId="1CC7106F" w:rsidR="002D7D8C" w:rsidRPr="00914792" w:rsidRDefault="00914792" w:rsidP="00F91B02">
      <w:pPr>
        <w:rPr>
          <w:rFonts w:ascii="Arial" w:hAnsi="Arial" w:cs="Arial"/>
          <w:b/>
          <w:sz w:val="28"/>
          <w:szCs w:val="28"/>
        </w:rPr>
      </w:pPr>
      <w:r w:rsidRPr="00914792">
        <w:rPr>
          <w:rFonts w:ascii="Arial" w:hAnsi="Arial" w:cs="Arial"/>
          <w:b/>
          <w:sz w:val="28"/>
          <w:szCs w:val="28"/>
        </w:rPr>
        <w:t xml:space="preserve">HM Treasury has published </w:t>
      </w:r>
      <w:bookmarkStart w:id="0" w:name="_GoBack"/>
      <w:r w:rsidRPr="00914792">
        <w:rPr>
          <w:rFonts w:ascii="Arial" w:hAnsi="Arial" w:cs="Arial"/>
          <w:b/>
          <w:sz w:val="28"/>
          <w:szCs w:val="28"/>
        </w:rPr>
        <w:t xml:space="preserve">IFRS 16 Leases Application Guidance to aid implementation </w:t>
      </w:r>
      <w:r w:rsidR="00F55089">
        <w:rPr>
          <w:rFonts w:ascii="Arial" w:hAnsi="Arial" w:cs="Arial"/>
          <w:b/>
          <w:sz w:val="28"/>
          <w:szCs w:val="28"/>
        </w:rPr>
        <w:t xml:space="preserve">of the new accounting standard </w:t>
      </w:r>
      <w:r w:rsidRPr="00914792">
        <w:rPr>
          <w:rFonts w:ascii="Arial" w:hAnsi="Arial" w:cs="Arial"/>
          <w:b/>
          <w:sz w:val="28"/>
          <w:szCs w:val="28"/>
        </w:rPr>
        <w:t>in the public sector.</w:t>
      </w:r>
    </w:p>
    <w:bookmarkEnd w:id="0"/>
    <w:p w14:paraId="3CB5406B" w14:textId="77777777" w:rsidR="004C0C25" w:rsidRPr="00CF06A2" w:rsidRDefault="004C0C25" w:rsidP="00F91B02">
      <w:pPr>
        <w:rPr>
          <w:rFonts w:ascii="Arial" w:hAnsi="Arial" w:cs="Arial"/>
          <w:sz w:val="22"/>
          <w:szCs w:val="22"/>
        </w:rPr>
      </w:pPr>
    </w:p>
    <w:p w14:paraId="09966E77" w14:textId="77777777" w:rsidR="002D7D8C" w:rsidRPr="00CF06A2" w:rsidRDefault="002D7D8C" w:rsidP="00F91B02">
      <w:pPr>
        <w:rPr>
          <w:rFonts w:ascii="Arial" w:hAnsi="Arial" w:cs="Arial"/>
          <w:sz w:val="22"/>
          <w:szCs w:val="22"/>
        </w:rPr>
      </w:pPr>
      <w:r w:rsidRPr="00CF06A2">
        <w:rPr>
          <w:rFonts w:ascii="Arial" w:hAnsi="Arial" w:cs="Arial"/>
          <w:sz w:val="22"/>
          <w:szCs w:val="22"/>
        </w:rPr>
        <w:t xml:space="preserve">IFRS 16 </w:t>
      </w:r>
      <w:r w:rsidRPr="00CF06A2">
        <w:rPr>
          <w:rFonts w:ascii="Arial" w:hAnsi="Arial" w:cs="Arial"/>
          <w:i/>
          <w:sz w:val="22"/>
          <w:szCs w:val="22"/>
        </w:rPr>
        <w:t xml:space="preserve">Leases </w:t>
      </w:r>
      <w:r w:rsidRPr="00CF06A2">
        <w:rPr>
          <w:rFonts w:ascii="Arial" w:hAnsi="Arial" w:cs="Arial"/>
          <w:sz w:val="22"/>
          <w:szCs w:val="22"/>
        </w:rPr>
        <w:t xml:space="preserve">is a new accounting standard that sets out the principles for the recognition, measurement, presentation and disclosure of leases. It replaces IAS 17. </w:t>
      </w:r>
    </w:p>
    <w:p w14:paraId="6B188B84" w14:textId="3660FCBA" w:rsidR="002D7D8C" w:rsidRPr="00CF06A2" w:rsidRDefault="002D7D8C" w:rsidP="00F91B02">
      <w:pPr>
        <w:rPr>
          <w:rFonts w:ascii="Arial" w:hAnsi="Arial" w:cs="Arial"/>
          <w:sz w:val="22"/>
          <w:szCs w:val="22"/>
        </w:rPr>
      </w:pPr>
    </w:p>
    <w:p w14:paraId="27AD4150" w14:textId="6979100D" w:rsidR="00F91B02" w:rsidRPr="00CF06A2" w:rsidRDefault="002D7D8C" w:rsidP="00F91B02">
      <w:pPr>
        <w:rPr>
          <w:rFonts w:ascii="Arial" w:hAnsi="Arial" w:cs="Arial"/>
          <w:sz w:val="22"/>
          <w:szCs w:val="22"/>
        </w:rPr>
      </w:pPr>
      <w:r w:rsidRPr="00CF06A2">
        <w:rPr>
          <w:rFonts w:ascii="Arial" w:hAnsi="Arial" w:cs="Arial"/>
          <w:sz w:val="22"/>
          <w:szCs w:val="22"/>
        </w:rPr>
        <w:t>IFRS 16 is effective from</w:t>
      </w:r>
      <w:r w:rsidR="00267594" w:rsidRPr="00CF06A2">
        <w:rPr>
          <w:rFonts w:ascii="Arial" w:hAnsi="Arial" w:cs="Arial"/>
          <w:sz w:val="22"/>
          <w:szCs w:val="22"/>
        </w:rPr>
        <w:t xml:space="preserve"> 1 January 2019</w:t>
      </w:r>
      <w:r w:rsidRPr="00CF06A2">
        <w:rPr>
          <w:rFonts w:ascii="Arial" w:hAnsi="Arial" w:cs="Arial"/>
          <w:sz w:val="22"/>
          <w:szCs w:val="22"/>
        </w:rPr>
        <w:t>. However</w:t>
      </w:r>
      <w:r w:rsidR="00267594" w:rsidRPr="00CF06A2">
        <w:rPr>
          <w:rFonts w:ascii="Arial" w:hAnsi="Arial" w:cs="Arial"/>
          <w:sz w:val="22"/>
          <w:szCs w:val="22"/>
        </w:rPr>
        <w:t>, UK public s</w:t>
      </w:r>
      <w:r w:rsidR="009912B0" w:rsidRPr="00CF06A2">
        <w:rPr>
          <w:rFonts w:ascii="Arial" w:hAnsi="Arial" w:cs="Arial"/>
          <w:sz w:val="22"/>
          <w:szCs w:val="22"/>
        </w:rPr>
        <w:t>ector bodies which use IFRS accounting standards have deferred adoption</w:t>
      </w:r>
      <w:r w:rsidRPr="00CF06A2">
        <w:rPr>
          <w:rFonts w:ascii="Arial" w:hAnsi="Arial" w:cs="Arial"/>
          <w:sz w:val="22"/>
          <w:szCs w:val="22"/>
        </w:rPr>
        <w:t xml:space="preserve"> of the standard </w:t>
      </w:r>
      <w:r w:rsidR="009912B0" w:rsidRPr="00CF06A2">
        <w:rPr>
          <w:rFonts w:ascii="Arial" w:hAnsi="Arial" w:cs="Arial"/>
          <w:sz w:val="22"/>
          <w:szCs w:val="22"/>
        </w:rPr>
        <w:t xml:space="preserve">until the financial year beginning 1 April 2020.  </w:t>
      </w:r>
      <w:r w:rsidR="00F91B02" w:rsidRPr="00CF06A2">
        <w:rPr>
          <w:rFonts w:ascii="Arial" w:hAnsi="Arial" w:cs="Arial"/>
          <w:sz w:val="22"/>
          <w:szCs w:val="22"/>
        </w:rPr>
        <w:t>This includes central government</w:t>
      </w:r>
      <w:r w:rsidR="00D01AC1" w:rsidRPr="00CF06A2">
        <w:rPr>
          <w:rFonts w:ascii="Arial" w:hAnsi="Arial" w:cs="Arial"/>
          <w:sz w:val="22"/>
          <w:szCs w:val="22"/>
        </w:rPr>
        <w:t xml:space="preserve"> bodies</w:t>
      </w:r>
      <w:r w:rsidR="00F91B02" w:rsidRPr="00CF06A2">
        <w:rPr>
          <w:rFonts w:ascii="Arial" w:hAnsi="Arial" w:cs="Arial"/>
          <w:sz w:val="22"/>
          <w:szCs w:val="22"/>
        </w:rPr>
        <w:t xml:space="preserve">, local authorities and the NHS.  </w:t>
      </w:r>
      <w:r w:rsidR="00D01AC1" w:rsidRPr="00CF06A2">
        <w:rPr>
          <w:rFonts w:ascii="Arial" w:hAnsi="Arial" w:cs="Arial"/>
          <w:sz w:val="22"/>
          <w:szCs w:val="22"/>
        </w:rPr>
        <w:t>T</w:t>
      </w:r>
      <w:r w:rsidR="00F91B02" w:rsidRPr="00CF06A2">
        <w:rPr>
          <w:rFonts w:ascii="Arial" w:hAnsi="Arial" w:cs="Arial"/>
          <w:sz w:val="22"/>
          <w:szCs w:val="22"/>
        </w:rPr>
        <w:t xml:space="preserve">wo </w:t>
      </w:r>
      <w:r w:rsidR="009912B0" w:rsidRPr="00CF06A2">
        <w:rPr>
          <w:rFonts w:ascii="Arial" w:hAnsi="Arial" w:cs="Arial"/>
          <w:sz w:val="22"/>
          <w:szCs w:val="22"/>
        </w:rPr>
        <w:t xml:space="preserve">central government bodies </w:t>
      </w:r>
      <w:r w:rsidR="00F91B02" w:rsidRPr="00CF06A2">
        <w:rPr>
          <w:rFonts w:ascii="Arial" w:hAnsi="Arial" w:cs="Arial"/>
          <w:sz w:val="22"/>
          <w:szCs w:val="22"/>
        </w:rPr>
        <w:t xml:space="preserve">– the Department </w:t>
      </w:r>
      <w:r w:rsidR="009912B0" w:rsidRPr="00CF06A2">
        <w:rPr>
          <w:rFonts w:ascii="Arial" w:hAnsi="Arial" w:cs="Arial"/>
          <w:sz w:val="22"/>
          <w:szCs w:val="22"/>
        </w:rPr>
        <w:t>for Digital,</w:t>
      </w:r>
      <w:r w:rsidR="00F91B02" w:rsidRPr="00CF06A2">
        <w:rPr>
          <w:rFonts w:ascii="Arial" w:hAnsi="Arial" w:cs="Arial"/>
          <w:sz w:val="22"/>
          <w:szCs w:val="22"/>
        </w:rPr>
        <w:t xml:space="preserve"> Culture, Media and Sport and Department for Transport – </w:t>
      </w:r>
      <w:r w:rsidR="009912B0" w:rsidRPr="00CF06A2">
        <w:rPr>
          <w:rFonts w:ascii="Arial" w:hAnsi="Arial" w:cs="Arial"/>
          <w:sz w:val="22"/>
          <w:szCs w:val="22"/>
        </w:rPr>
        <w:t xml:space="preserve">will early adopt </w:t>
      </w:r>
      <w:r w:rsidR="00F91B02" w:rsidRPr="00CF06A2">
        <w:rPr>
          <w:rFonts w:ascii="Arial" w:hAnsi="Arial" w:cs="Arial"/>
          <w:sz w:val="22"/>
          <w:szCs w:val="22"/>
        </w:rPr>
        <w:t>IFRS 16 from 1 April 2019</w:t>
      </w:r>
      <w:r w:rsidR="009912B0" w:rsidRPr="00CF06A2">
        <w:rPr>
          <w:rFonts w:ascii="Arial" w:hAnsi="Arial" w:cs="Arial"/>
          <w:sz w:val="22"/>
          <w:szCs w:val="22"/>
        </w:rPr>
        <w:t>, as may some public corporations</w:t>
      </w:r>
      <w:r w:rsidR="00AF0A8B" w:rsidRPr="00CF06A2">
        <w:rPr>
          <w:rFonts w:ascii="Arial" w:hAnsi="Arial" w:cs="Arial"/>
          <w:sz w:val="22"/>
          <w:szCs w:val="22"/>
        </w:rPr>
        <w:t xml:space="preserve"> and other organisations</w:t>
      </w:r>
      <w:r w:rsidR="00F91B02" w:rsidRPr="00CF06A2">
        <w:rPr>
          <w:rFonts w:ascii="Arial" w:hAnsi="Arial" w:cs="Arial"/>
          <w:sz w:val="22"/>
          <w:szCs w:val="22"/>
        </w:rPr>
        <w:t>.</w:t>
      </w:r>
    </w:p>
    <w:p w14:paraId="3CAF655E" w14:textId="77777777" w:rsidR="00F91B02" w:rsidRPr="00CF06A2" w:rsidRDefault="00F91B02" w:rsidP="00570167">
      <w:pPr>
        <w:rPr>
          <w:rFonts w:ascii="Arial" w:hAnsi="Arial" w:cs="Arial"/>
          <w:sz w:val="22"/>
          <w:szCs w:val="22"/>
        </w:rPr>
      </w:pPr>
    </w:p>
    <w:p w14:paraId="6F24D974" w14:textId="7E96C1A4" w:rsidR="00C43CB3" w:rsidRDefault="000B6031" w:rsidP="006207DC">
      <w:pPr>
        <w:rPr>
          <w:rStyle w:val="Hyperlink"/>
          <w:rFonts w:ascii="Arial" w:hAnsi="Arial" w:cs="Arial"/>
          <w:color w:val="auto"/>
          <w:sz w:val="22"/>
          <w:szCs w:val="22"/>
        </w:rPr>
      </w:pPr>
      <w:r w:rsidRPr="00CF06A2">
        <w:rPr>
          <w:rFonts w:ascii="Arial" w:hAnsi="Arial" w:cs="Arial"/>
          <w:sz w:val="22"/>
          <w:szCs w:val="22"/>
        </w:rPr>
        <w:t>HM Treasury’s Financial Reporting Manual</w:t>
      </w:r>
      <w:r w:rsidR="009912B0" w:rsidRPr="00CF06A2">
        <w:rPr>
          <w:rFonts w:ascii="Arial" w:hAnsi="Arial" w:cs="Arial"/>
          <w:sz w:val="22"/>
          <w:szCs w:val="22"/>
        </w:rPr>
        <w:t xml:space="preserve"> (</w:t>
      </w:r>
      <w:proofErr w:type="spellStart"/>
      <w:r w:rsidR="009912B0" w:rsidRPr="00CF06A2">
        <w:rPr>
          <w:rFonts w:ascii="Arial" w:hAnsi="Arial" w:cs="Arial"/>
          <w:sz w:val="22"/>
          <w:szCs w:val="22"/>
        </w:rPr>
        <w:t>FReM</w:t>
      </w:r>
      <w:proofErr w:type="spellEnd"/>
      <w:r w:rsidR="009912B0" w:rsidRPr="00CF06A2">
        <w:rPr>
          <w:rFonts w:ascii="Arial" w:hAnsi="Arial" w:cs="Arial"/>
          <w:sz w:val="22"/>
          <w:szCs w:val="22"/>
        </w:rPr>
        <w:t>)</w:t>
      </w:r>
      <w:r w:rsidRPr="00CF06A2">
        <w:rPr>
          <w:rFonts w:ascii="Arial" w:hAnsi="Arial" w:cs="Arial"/>
          <w:sz w:val="22"/>
          <w:szCs w:val="22"/>
        </w:rPr>
        <w:t xml:space="preserve">, CIPFA /LASAAC’s Code of Practice and the NHS Group Accounting Manual will be updated in due course to reflect </w:t>
      </w:r>
      <w:r w:rsidR="002D7D8C" w:rsidRPr="00CF06A2">
        <w:rPr>
          <w:rFonts w:ascii="Arial" w:hAnsi="Arial" w:cs="Arial"/>
          <w:sz w:val="22"/>
          <w:szCs w:val="22"/>
        </w:rPr>
        <w:t>the</w:t>
      </w:r>
      <w:r w:rsidR="00E41A44" w:rsidRPr="00CF06A2">
        <w:rPr>
          <w:rFonts w:ascii="Arial" w:hAnsi="Arial" w:cs="Arial"/>
          <w:sz w:val="22"/>
          <w:szCs w:val="22"/>
        </w:rPr>
        <w:t xml:space="preserve"> introduction</w:t>
      </w:r>
      <w:r w:rsidR="002D7D8C" w:rsidRPr="00CF06A2">
        <w:rPr>
          <w:rFonts w:ascii="Arial" w:hAnsi="Arial" w:cs="Arial"/>
          <w:sz w:val="22"/>
          <w:szCs w:val="22"/>
        </w:rPr>
        <w:t xml:space="preserve"> of IFRS 16</w:t>
      </w:r>
      <w:r w:rsidR="001B7ECE" w:rsidRPr="00CF06A2">
        <w:rPr>
          <w:rFonts w:ascii="Arial" w:hAnsi="Arial" w:cs="Arial"/>
          <w:sz w:val="22"/>
          <w:szCs w:val="22"/>
        </w:rPr>
        <w:t>.</w:t>
      </w:r>
      <w:r w:rsidR="002D7D8C" w:rsidRPr="00CF06A2">
        <w:rPr>
          <w:rFonts w:ascii="Arial" w:hAnsi="Arial" w:cs="Arial"/>
          <w:sz w:val="22"/>
          <w:szCs w:val="22"/>
        </w:rPr>
        <w:t xml:space="preserve"> These sets of guidance will include adaptations and interpretations to IFRS 16 to make it suitable for implementation in the public sector.</w:t>
      </w:r>
      <w:r w:rsidR="00E41A44" w:rsidRPr="00CF06A2">
        <w:rPr>
          <w:rFonts w:ascii="Arial" w:hAnsi="Arial" w:cs="Arial"/>
          <w:sz w:val="22"/>
          <w:szCs w:val="22"/>
        </w:rPr>
        <w:t xml:space="preserve"> </w:t>
      </w:r>
      <w:r w:rsidR="00A22FFD" w:rsidRPr="00CF06A2">
        <w:rPr>
          <w:rFonts w:ascii="Arial" w:hAnsi="Arial" w:cs="Arial"/>
          <w:sz w:val="22"/>
          <w:szCs w:val="22"/>
        </w:rPr>
        <w:t>HM</w:t>
      </w:r>
      <w:r w:rsidR="001B7ECE" w:rsidRPr="00CF06A2">
        <w:rPr>
          <w:rFonts w:ascii="Arial" w:hAnsi="Arial" w:cs="Arial"/>
          <w:sz w:val="22"/>
          <w:szCs w:val="22"/>
        </w:rPr>
        <w:t xml:space="preserve"> </w:t>
      </w:r>
      <w:r w:rsidR="00A22FFD" w:rsidRPr="00CF06A2">
        <w:rPr>
          <w:rFonts w:ascii="Arial" w:hAnsi="Arial" w:cs="Arial"/>
          <w:sz w:val="22"/>
          <w:szCs w:val="22"/>
        </w:rPr>
        <w:t>T</w:t>
      </w:r>
      <w:r w:rsidR="001B7ECE" w:rsidRPr="00CF06A2">
        <w:rPr>
          <w:rFonts w:ascii="Arial" w:hAnsi="Arial" w:cs="Arial"/>
          <w:sz w:val="22"/>
          <w:szCs w:val="22"/>
        </w:rPr>
        <w:t xml:space="preserve">reasury has also published </w:t>
      </w:r>
      <w:r w:rsidR="006207DC">
        <w:rPr>
          <w:rFonts w:ascii="Arial" w:hAnsi="Arial" w:cs="Arial"/>
          <w:sz w:val="22"/>
          <w:szCs w:val="22"/>
        </w:rPr>
        <w:t xml:space="preserve">IFRS 16 Leases </w:t>
      </w:r>
      <w:r w:rsidR="00890B0C" w:rsidRPr="00CF06A2">
        <w:rPr>
          <w:rFonts w:ascii="Arial" w:hAnsi="Arial" w:cs="Arial"/>
          <w:sz w:val="22"/>
          <w:szCs w:val="22"/>
        </w:rPr>
        <w:t>A</w:t>
      </w:r>
      <w:r w:rsidR="00A22FFD" w:rsidRPr="00CF06A2">
        <w:rPr>
          <w:rFonts w:ascii="Arial" w:hAnsi="Arial" w:cs="Arial"/>
          <w:sz w:val="22"/>
          <w:szCs w:val="22"/>
        </w:rPr>
        <w:t>pplication Guidance</w:t>
      </w:r>
      <w:r w:rsidR="00890B0C" w:rsidRPr="00CF06A2">
        <w:rPr>
          <w:rFonts w:ascii="Arial" w:hAnsi="Arial" w:cs="Arial"/>
          <w:sz w:val="22"/>
          <w:szCs w:val="22"/>
        </w:rPr>
        <w:t xml:space="preserve"> </w:t>
      </w:r>
      <w:r w:rsidR="00674E07" w:rsidRPr="00CF06A2">
        <w:rPr>
          <w:rFonts w:ascii="Arial" w:hAnsi="Arial" w:cs="Arial"/>
          <w:sz w:val="22"/>
          <w:szCs w:val="22"/>
        </w:rPr>
        <w:t xml:space="preserve">to aid implementation in the public sector.  This guidance </w:t>
      </w:r>
      <w:r w:rsidR="00890B0C" w:rsidRPr="00CF06A2">
        <w:rPr>
          <w:rFonts w:ascii="Arial" w:hAnsi="Arial" w:cs="Arial"/>
          <w:sz w:val="22"/>
          <w:szCs w:val="22"/>
        </w:rPr>
        <w:t xml:space="preserve">is publicly available </w:t>
      </w:r>
      <w:r w:rsidRPr="00CF06A2">
        <w:rPr>
          <w:rFonts w:ascii="Arial" w:hAnsi="Arial" w:cs="Arial"/>
          <w:sz w:val="22"/>
          <w:szCs w:val="22"/>
        </w:rPr>
        <w:t>at</w:t>
      </w:r>
      <w:r w:rsidR="00890B0C" w:rsidRPr="00CF06A2">
        <w:rPr>
          <w:rFonts w:ascii="Arial" w:hAnsi="Arial" w:cs="Arial"/>
          <w:sz w:val="22"/>
          <w:szCs w:val="22"/>
        </w:rPr>
        <w:t xml:space="preserve">: </w:t>
      </w:r>
      <w:hyperlink r:id="rId6" w:history="1">
        <w:r w:rsidR="006207DC" w:rsidRPr="004033E3">
          <w:rPr>
            <w:rStyle w:val="Hyperlink"/>
            <w:rFonts w:ascii="Arial" w:hAnsi="Arial" w:cs="Arial"/>
            <w:sz w:val="22"/>
            <w:szCs w:val="22"/>
          </w:rPr>
          <w:t>https://www.gov.uk/government/publications/government-financial-reporting-manual-application-guidance</w:t>
        </w:r>
      </w:hyperlink>
    </w:p>
    <w:p w14:paraId="77E0DB0E" w14:textId="77777777" w:rsidR="006207DC" w:rsidRPr="00CF06A2" w:rsidRDefault="006207DC" w:rsidP="006207DC">
      <w:pPr>
        <w:rPr>
          <w:rFonts w:ascii="Arial" w:hAnsi="Arial" w:cs="Arial"/>
          <w:szCs w:val="22"/>
        </w:rPr>
      </w:pPr>
    </w:p>
    <w:p w14:paraId="73B72FC6" w14:textId="7E356575" w:rsidR="00C43CB3" w:rsidRPr="00CF06A2" w:rsidRDefault="00C43CB3" w:rsidP="007071CE">
      <w:pPr>
        <w:pStyle w:val="PlainText"/>
        <w:rPr>
          <w:rFonts w:ascii="Arial" w:hAnsi="Arial" w:cs="Arial"/>
          <w:b/>
          <w:szCs w:val="22"/>
        </w:rPr>
      </w:pPr>
      <w:r w:rsidRPr="00CF06A2">
        <w:rPr>
          <w:rFonts w:ascii="Arial" w:hAnsi="Arial" w:cs="Arial"/>
          <w:b/>
          <w:szCs w:val="22"/>
        </w:rPr>
        <w:t>Lessee</w:t>
      </w:r>
      <w:r w:rsidR="002D7D8C" w:rsidRPr="00CF06A2">
        <w:rPr>
          <w:rFonts w:ascii="Arial" w:hAnsi="Arial" w:cs="Arial"/>
          <w:b/>
          <w:szCs w:val="22"/>
        </w:rPr>
        <w:t xml:space="preserve"> accounting</w:t>
      </w:r>
    </w:p>
    <w:p w14:paraId="55B0A9DA" w14:textId="77777777" w:rsidR="00B1121B" w:rsidRPr="00CF06A2" w:rsidRDefault="00B1121B" w:rsidP="007071CE">
      <w:pPr>
        <w:pStyle w:val="PlainText"/>
        <w:rPr>
          <w:rFonts w:ascii="Arial" w:hAnsi="Arial" w:cs="Arial"/>
          <w:szCs w:val="22"/>
        </w:rPr>
      </w:pPr>
    </w:p>
    <w:p w14:paraId="7570F1D3" w14:textId="618237C2" w:rsidR="00B1121B" w:rsidRPr="00CF06A2" w:rsidRDefault="002D7D8C" w:rsidP="007071CE">
      <w:pPr>
        <w:pStyle w:val="PlainText"/>
        <w:rPr>
          <w:rFonts w:ascii="Arial" w:hAnsi="Arial" w:cs="Arial"/>
          <w:szCs w:val="22"/>
        </w:rPr>
      </w:pPr>
      <w:r w:rsidRPr="00CF06A2">
        <w:rPr>
          <w:rFonts w:ascii="Arial" w:hAnsi="Arial" w:cs="Arial"/>
          <w:szCs w:val="22"/>
        </w:rPr>
        <w:t>Under IFRS 16, f</w:t>
      </w:r>
      <w:r w:rsidR="00247A77" w:rsidRPr="00CF06A2">
        <w:rPr>
          <w:rFonts w:ascii="Arial" w:hAnsi="Arial" w:cs="Arial"/>
          <w:szCs w:val="22"/>
        </w:rPr>
        <w:t xml:space="preserve">or lessees, </w:t>
      </w:r>
      <w:r w:rsidR="00145954" w:rsidRPr="00CF06A2">
        <w:rPr>
          <w:rFonts w:ascii="Arial" w:hAnsi="Arial" w:cs="Arial"/>
          <w:szCs w:val="22"/>
        </w:rPr>
        <w:t xml:space="preserve">a single accounting model </w:t>
      </w:r>
      <w:r w:rsidR="00295739" w:rsidRPr="00CF06A2">
        <w:rPr>
          <w:rFonts w:ascii="Arial" w:hAnsi="Arial" w:cs="Arial"/>
          <w:szCs w:val="22"/>
        </w:rPr>
        <w:t xml:space="preserve">will </w:t>
      </w:r>
      <w:r w:rsidR="00247A77" w:rsidRPr="00CF06A2">
        <w:rPr>
          <w:rFonts w:ascii="Arial" w:hAnsi="Arial" w:cs="Arial"/>
          <w:szCs w:val="22"/>
        </w:rPr>
        <w:t xml:space="preserve">replace the current finance </w:t>
      </w:r>
      <w:r w:rsidR="00720CBF" w:rsidRPr="00CF06A2">
        <w:rPr>
          <w:rFonts w:ascii="Arial" w:hAnsi="Arial" w:cs="Arial"/>
          <w:szCs w:val="22"/>
        </w:rPr>
        <w:t xml:space="preserve">/ </w:t>
      </w:r>
      <w:r w:rsidR="00247A77" w:rsidRPr="00CF06A2">
        <w:rPr>
          <w:rFonts w:ascii="Arial" w:hAnsi="Arial" w:cs="Arial"/>
          <w:szCs w:val="22"/>
        </w:rPr>
        <w:t xml:space="preserve">operating </w:t>
      </w:r>
      <w:r w:rsidR="00720CBF" w:rsidRPr="00CF06A2">
        <w:rPr>
          <w:rFonts w:ascii="Arial" w:hAnsi="Arial" w:cs="Arial"/>
          <w:szCs w:val="22"/>
        </w:rPr>
        <w:t xml:space="preserve">lease </w:t>
      </w:r>
      <w:r w:rsidR="00267DB6" w:rsidRPr="00CF06A2">
        <w:rPr>
          <w:rFonts w:ascii="Arial" w:hAnsi="Arial" w:cs="Arial"/>
          <w:szCs w:val="22"/>
        </w:rPr>
        <w:t>model</w:t>
      </w:r>
      <w:r w:rsidR="007E1EB7" w:rsidRPr="00CF06A2">
        <w:rPr>
          <w:rFonts w:ascii="Arial" w:hAnsi="Arial" w:cs="Arial"/>
          <w:szCs w:val="22"/>
        </w:rPr>
        <w:t xml:space="preserve">.  </w:t>
      </w:r>
      <w:r w:rsidR="00B1121B" w:rsidRPr="00CF06A2">
        <w:rPr>
          <w:rFonts w:ascii="Arial" w:hAnsi="Arial" w:cs="Arial"/>
          <w:szCs w:val="22"/>
        </w:rPr>
        <w:t xml:space="preserve">Property leases with a term of more than 12 months will be captured by </w:t>
      </w:r>
      <w:r w:rsidR="001E7375" w:rsidRPr="00CF06A2">
        <w:rPr>
          <w:rFonts w:ascii="Arial" w:hAnsi="Arial" w:cs="Arial"/>
          <w:szCs w:val="22"/>
        </w:rPr>
        <w:t xml:space="preserve">the </w:t>
      </w:r>
      <w:r w:rsidR="00B1121B" w:rsidRPr="00CF06A2">
        <w:rPr>
          <w:rFonts w:ascii="Arial" w:hAnsi="Arial" w:cs="Arial"/>
          <w:szCs w:val="22"/>
        </w:rPr>
        <w:t>lessee on the</w:t>
      </w:r>
      <w:r w:rsidR="001E7375" w:rsidRPr="00CF06A2">
        <w:rPr>
          <w:rFonts w:ascii="Arial" w:hAnsi="Arial" w:cs="Arial"/>
          <w:szCs w:val="22"/>
        </w:rPr>
        <w:t>ir</w:t>
      </w:r>
      <w:r w:rsidR="00B1121B" w:rsidRPr="00CF06A2">
        <w:rPr>
          <w:rFonts w:ascii="Arial" w:hAnsi="Arial" w:cs="Arial"/>
          <w:szCs w:val="22"/>
        </w:rPr>
        <w:t xml:space="preserve"> balance sheet</w:t>
      </w:r>
      <w:r w:rsidR="00E72DB9" w:rsidRPr="00CF06A2">
        <w:rPr>
          <w:rFonts w:ascii="Arial" w:hAnsi="Arial" w:cs="Arial"/>
          <w:szCs w:val="22"/>
        </w:rPr>
        <w:t xml:space="preserve">. The lessee will recognise its </w:t>
      </w:r>
      <w:r w:rsidR="007E1EB7" w:rsidRPr="00CF06A2">
        <w:rPr>
          <w:rFonts w:ascii="Arial" w:hAnsi="Arial" w:cs="Arial"/>
          <w:szCs w:val="22"/>
        </w:rPr>
        <w:t xml:space="preserve">right to use the underlying leased asset and </w:t>
      </w:r>
      <w:r w:rsidR="00E72DB9" w:rsidRPr="00CF06A2">
        <w:rPr>
          <w:rFonts w:ascii="Arial" w:hAnsi="Arial" w:cs="Arial"/>
          <w:szCs w:val="22"/>
        </w:rPr>
        <w:t xml:space="preserve">an </w:t>
      </w:r>
      <w:r w:rsidR="007E1EB7" w:rsidRPr="00CF06A2">
        <w:rPr>
          <w:rFonts w:ascii="Arial" w:hAnsi="Arial" w:cs="Arial"/>
          <w:szCs w:val="22"/>
        </w:rPr>
        <w:t>obligation to make lease payments</w:t>
      </w:r>
      <w:r w:rsidR="00B1121B" w:rsidRPr="00CF06A2">
        <w:rPr>
          <w:rFonts w:ascii="Arial" w:hAnsi="Arial" w:cs="Arial"/>
          <w:szCs w:val="22"/>
        </w:rPr>
        <w:t xml:space="preserve">. </w:t>
      </w:r>
    </w:p>
    <w:p w14:paraId="08FA1F7F" w14:textId="77777777" w:rsidR="006F679F" w:rsidRPr="00CF06A2" w:rsidRDefault="006F679F" w:rsidP="006F679F">
      <w:pPr>
        <w:pStyle w:val="Default"/>
        <w:rPr>
          <w:rFonts w:ascii="Arial" w:hAnsi="Arial" w:cs="Arial"/>
          <w:szCs w:val="22"/>
        </w:rPr>
      </w:pPr>
    </w:p>
    <w:p w14:paraId="7E96F7B7" w14:textId="09EFA6F9" w:rsidR="006F679F" w:rsidRPr="00CF06A2" w:rsidRDefault="006F679F" w:rsidP="006F679F">
      <w:pPr>
        <w:pStyle w:val="Default"/>
        <w:rPr>
          <w:rFonts w:ascii="Arial" w:hAnsi="Arial" w:cs="Arial"/>
          <w:color w:val="auto"/>
          <w:sz w:val="22"/>
          <w:szCs w:val="22"/>
        </w:rPr>
      </w:pPr>
      <w:r w:rsidRPr="00CF06A2">
        <w:rPr>
          <w:rFonts w:ascii="Arial" w:hAnsi="Arial" w:cs="Arial"/>
          <w:color w:val="auto"/>
          <w:sz w:val="22"/>
          <w:szCs w:val="22"/>
        </w:rPr>
        <w:t xml:space="preserve">There are public sector-specific adaptations to IFRS 16 </w:t>
      </w:r>
      <w:r w:rsidR="004C0C25">
        <w:rPr>
          <w:rFonts w:ascii="Arial" w:hAnsi="Arial" w:cs="Arial"/>
          <w:color w:val="auto"/>
          <w:sz w:val="22"/>
          <w:szCs w:val="22"/>
        </w:rPr>
        <w:t xml:space="preserve">to </w:t>
      </w:r>
      <w:r w:rsidRPr="00CF06A2">
        <w:rPr>
          <w:rFonts w:ascii="Arial" w:hAnsi="Arial" w:cs="Arial"/>
          <w:color w:val="auto"/>
          <w:sz w:val="22"/>
          <w:szCs w:val="22"/>
        </w:rPr>
        <w:t>ensure that intra-UK government arrangements and peppercorn leases are included in the scope of IFRS 16.</w:t>
      </w:r>
    </w:p>
    <w:p w14:paraId="00AA2A9C" w14:textId="77777777" w:rsidR="00247A77" w:rsidRPr="00CF06A2" w:rsidRDefault="00247A77" w:rsidP="007071CE">
      <w:pPr>
        <w:pStyle w:val="PlainText"/>
        <w:rPr>
          <w:rFonts w:ascii="Arial" w:hAnsi="Arial" w:cs="Arial"/>
          <w:szCs w:val="22"/>
        </w:rPr>
      </w:pPr>
    </w:p>
    <w:p w14:paraId="1B31515B" w14:textId="77777777" w:rsidR="001F467D" w:rsidRPr="00CF06A2" w:rsidRDefault="00FE1139" w:rsidP="001F467D">
      <w:pPr>
        <w:pStyle w:val="Default"/>
        <w:rPr>
          <w:rFonts w:ascii="Arial" w:hAnsi="Arial" w:cs="Arial"/>
          <w:color w:val="auto"/>
          <w:sz w:val="22"/>
          <w:szCs w:val="22"/>
        </w:rPr>
      </w:pPr>
      <w:r w:rsidRPr="00CF06A2">
        <w:rPr>
          <w:rFonts w:ascii="Arial" w:hAnsi="Arial" w:cs="Arial"/>
          <w:color w:val="auto"/>
          <w:sz w:val="22"/>
          <w:szCs w:val="22"/>
        </w:rPr>
        <w:t xml:space="preserve">Determining the lease term is important. </w:t>
      </w:r>
      <w:r w:rsidR="001F467D" w:rsidRPr="00CF06A2">
        <w:rPr>
          <w:rFonts w:ascii="Arial" w:hAnsi="Arial" w:cs="Arial"/>
          <w:color w:val="auto"/>
          <w:sz w:val="22"/>
          <w:szCs w:val="22"/>
        </w:rPr>
        <w:t xml:space="preserve">Lease term is defined as the non-cancellable period for which a lessee has the right to use an underlying asset, together with both </w:t>
      </w:r>
      <w:proofErr w:type="spellStart"/>
      <w:r w:rsidR="001F467D" w:rsidRPr="00CF06A2">
        <w:rPr>
          <w:rFonts w:ascii="Arial" w:hAnsi="Arial" w:cs="Arial"/>
          <w:color w:val="auto"/>
          <w:sz w:val="22"/>
          <w:szCs w:val="22"/>
        </w:rPr>
        <w:t>i</w:t>
      </w:r>
      <w:proofErr w:type="spellEnd"/>
      <w:r w:rsidR="001F467D" w:rsidRPr="00CF06A2">
        <w:rPr>
          <w:rFonts w:ascii="Arial" w:hAnsi="Arial" w:cs="Arial"/>
          <w:color w:val="auto"/>
          <w:sz w:val="22"/>
          <w:szCs w:val="22"/>
        </w:rPr>
        <w:t xml:space="preserve">) periods covered by an option to extend the lease if the lessee is reasonably certain to exercise that option; and ii) periods covered by an option to terminate the lease if the lessee is reasonably certain not to exercise that option. </w:t>
      </w:r>
    </w:p>
    <w:p w14:paraId="4E0AC9C1" w14:textId="77777777" w:rsidR="00247A77" w:rsidRPr="00CF06A2" w:rsidRDefault="00247A77" w:rsidP="007071CE">
      <w:pPr>
        <w:pStyle w:val="PlainText"/>
        <w:rPr>
          <w:rFonts w:ascii="Arial" w:hAnsi="Arial" w:cs="Arial"/>
          <w:szCs w:val="22"/>
        </w:rPr>
      </w:pPr>
    </w:p>
    <w:p w14:paraId="0EEAD136" w14:textId="77777777" w:rsidR="00247A77" w:rsidRPr="00CF06A2" w:rsidRDefault="00247A77" w:rsidP="007071CE">
      <w:pPr>
        <w:pStyle w:val="PlainText"/>
        <w:rPr>
          <w:rFonts w:ascii="Arial" w:hAnsi="Arial" w:cs="Arial"/>
          <w:szCs w:val="22"/>
        </w:rPr>
      </w:pPr>
    </w:p>
    <w:p w14:paraId="6168C98D" w14:textId="77777777" w:rsidR="000A1EE1" w:rsidRPr="00CF06A2" w:rsidRDefault="00DB0099" w:rsidP="007071CE">
      <w:pPr>
        <w:pStyle w:val="PlainText"/>
        <w:rPr>
          <w:rFonts w:ascii="Arial" w:hAnsi="Arial" w:cs="Arial"/>
          <w:b/>
          <w:szCs w:val="22"/>
        </w:rPr>
      </w:pPr>
      <w:r w:rsidRPr="00CF06A2">
        <w:rPr>
          <w:rFonts w:ascii="Arial" w:hAnsi="Arial" w:cs="Arial"/>
          <w:b/>
          <w:szCs w:val="22"/>
        </w:rPr>
        <w:t xml:space="preserve">Application of </w:t>
      </w:r>
      <w:r w:rsidR="000A1EE1" w:rsidRPr="00CF06A2">
        <w:rPr>
          <w:rFonts w:ascii="Arial" w:hAnsi="Arial" w:cs="Arial"/>
          <w:b/>
          <w:szCs w:val="22"/>
        </w:rPr>
        <w:t xml:space="preserve">Cost </w:t>
      </w:r>
      <w:r w:rsidRPr="00CF06A2">
        <w:rPr>
          <w:rFonts w:ascii="Arial" w:hAnsi="Arial" w:cs="Arial"/>
          <w:b/>
          <w:szCs w:val="22"/>
        </w:rPr>
        <w:t>or</w:t>
      </w:r>
      <w:r w:rsidR="000A1EE1" w:rsidRPr="00CF06A2">
        <w:rPr>
          <w:rFonts w:ascii="Arial" w:hAnsi="Arial" w:cs="Arial"/>
          <w:b/>
          <w:szCs w:val="22"/>
        </w:rPr>
        <w:t xml:space="preserve"> Revaluation model</w:t>
      </w:r>
    </w:p>
    <w:p w14:paraId="0C090443" w14:textId="77777777" w:rsidR="00B1121B" w:rsidRPr="00CF06A2" w:rsidRDefault="00B1121B" w:rsidP="00623F5A">
      <w:pPr>
        <w:pStyle w:val="Default"/>
        <w:rPr>
          <w:rFonts w:ascii="Arial" w:hAnsi="Arial" w:cs="Arial"/>
          <w:color w:val="auto"/>
          <w:sz w:val="22"/>
          <w:szCs w:val="22"/>
        </w:rPr>
      </w:pPr>
    </w:p>
    <w:p w14:paraId="50F5303E" w14:textId="77777777" w:rsidR="00623F5A" w:rsidRPr="00CF06A2" w:rsidRDefault="007E1EB7" w:rsidP="00623F5A">
      <w:pPr>
        <w:pStyle w:val="Default"/>
        <w:rPr>
          <w:rFonts w:ascii="Arial" w:hAnsi="Arial" w:cs="Arial"/>
          <w:color w:val="auto"/>
          <w:sz w:val="22"/>
          <w:szCs w:val="22"/>
        </w:rPr>
      </w:pPr>
      <w:r w:rsidRPr="00CF06A2">
        <w:rPr>
          <w:rFonts w:ascii="Arial" w:hAnsi="Arial" w:cs="Arial"/>
          <w:color w:val="auto"/>
          <w:sz w:val="22"/>
          <w:szCs w:val="22"/>
        </w:rPr>
        <w:t>Lessees are required to measure their r</w:t>
      </w:r>
      <w:r w:rsidR="000167A8" w:rsidRPr="00CF06A2">
        <w:rPr>
          <w:rFonts w:ascii="Arial" w:hAnsi="Arial" w:cs="Arial"/>
          <w:color w:val="auto"/>
          <w:sz w:val="22"/>
          <w:szCs w:val="22"/>
        </w:rPr>
        <w:t>ight-of-use assets</w:t>
      </w:r>
      <w:r w:rsidRPr="00CF06A2">
        <w:rPr>
          <w:rFonts w:ascii="Arial" w:hAnsi="Arial" w:cs="Arial"/>
          <w:color w:val="auto"/>
          <w:sz w:val="22"/>
          <w:szCs w:val="22"/>
        </w:rPr>
        <w:t xml:space="preserve"> </w:t>
      </w:r>
      <w:r w:rsidR="000167A8" w:rsidRPr="00CF06A2">
        <w:rPr>
          <w:rFonts w:ascii="Arial" w:hAnsi="Arial" w:cs="Arial"/>
          <w:color w:val="auto"/>
          <w:sz w:val="22"/>
          <w:szCs w:val="22"/>
        </w:rPr>
        <w:t>at current value in existing use or, if not in operational use, fair value</w:t>
      </w:r>
      <w:r w:rsidR="00EA6F93" w:rsidRPr="00CF06A2">
        <w:rPr>
          <w:rFonts w:ascii="Arial" w:hAnsi="Arial" w:cs="Arial"/>
          <w:color w:val="auto"/>
          <w:sz w:val="22"/>
          <w:szCs w:val="22"/>
        </w:rPr>
        <w:t xml:space="preserve">. </w:t>
      </w:r>
      <w:r w:rsidR="007258AB" w:rsidRPr="00CF06A2">
        <w:rPr>
          <w:rFonts w:ascii="Arial" w:hAnsi="Arial" w:cs="Arial"/>
          <w:color w:val="auto"/>
          <w:sz w:val="22"/>
          <w:szCs w:val="22"/>
        </w:rPr>
        <w:t xml:space="preserve">The application guide states that, in most cases, the </w:t>
      </w:r>
      <w:r w:rsidR="002D12CA" w:rsidRPr="00CF06A2">
        <w:rPr>
          <w:rFonts w:ascii="Arial" w:hAnsi="Arial" w:cs="Arial"/>
          <w:color w:val="auto"/>
          <w:sz w:val="22"/>
          <w:szCs w:val="22"/>
        </w:rPr>
        <w:t xml:space="preserve">IFRS 16 </w:t>
      </w:r>
      <w:r w:rsidR="007258AB" w:rsidRPr="00CF06A2">
        <w:rPr>
          <w:rFonts w:ascii="Arial" w:hAnsi="Arial" w:cs="Arial"/>
          <w:color w:val="auto"/>
          <w:sz w:val="22"/>
          <w:szCs w:val="22"/>
        </w:rPr>
        <w:t>cost model will be an appropriate proxy for current value in existing use (or fair value).</w:t>
      </w:r>
      <w:r w:rsidR="002D12CA" w:rsidRPr="00CF06A2">
        <w:rPr>
          <w:rFonts w:ascii="Arial" w:hAnsi="Arial" w:cs="Arial"/>
          <w:color w:val="auto"/>
          <w:sz w:val="22"/>
          <w:szCs w:val="22"/>
        </w:rPr>
        <w:t xml:space="preserve"> This is because right-of-use assets generally have shorter useful lives (i.e. lease terms) than their respective underlying assets and there will usually be provision for rent reviews or forms of indexation that will update rental payments for market conditions – factors that are captured in the IFRS 16 cost measurement approach.  </w:t>
      </w:r>
      <w:r w:rsidR="00634AD9" w:rsidRPr="00CF06A2">
        <w:rPr>
          <w:rFonts w:ascii="Arial" w:hAnsi="Arial" w:cs="Arial"/>
          <w:color w:val="auto"/>
          <w:sz w:val="22"/>
          <w:szCs w:val="22"/>
        </w:rPr>
        <w:t xml:space="preserve">Use of </w:t>
      </w:r>
      <w:r w:rsidR="002D12CA" w:rsidRPr="00CF06A2">
        <w:rPr>
          <w:rFonts w:ascii="Arial" w:hAnsi="Arial" w:cs="Arial"/>
          <w:color w:val="auto"/>
          <w:sz w:val="22"/>
          <w:szCs w:val="22"/>
        </w:rPr>
        <w:t xml:space="preserve">the cost model </w:t>
      </w:r>
      <w:r w:rsidR="00144B2C" w:rsidRPr="00CF06A2">
        <w:rPr>
          <w:rFonts w:ascii="Arial" w:hAnsi="Arial" w:cs="Arial"/>
          <w:color w:val="auto"/>
          <w:sz w:val="22"/>
          <w:szCs w:val="22"/>
        </w:rPr>
        <w:t xml:space="preserve">by </w:t>
      </w:r>
      <w:r w:rsidR="00634AD9" w:rsidRPr="00CF06A2">
        <w:rPr>
          <w:rFonts w:ascii="Arial" w:hAnsi="Arial" w:cs="Arial"/>
          <w:color w:val="auto"/>
          <w:sz w:val="22"/>
          <w:szCs w:val="22"/>
        </w:rPr>
        <w:t>an</w:t>
      </w:r>
      <w:r w:rsidR="00144B2C" w:rsidRPr="00CF06A2">
        <w:rPr>
          <w:rFonts w:ascii="Arial" w:hAnsi="Arial" w:cs="Arial"/>
          <w:color w:val="auto"/>
          <w:sz w:val="22"/>
          <w:szCs w:val="22"/>
        </w:rPr>
        <w:t xml:space="preserve"> entity</w:t>
      </w:r>
      <w:r w:rsidR="00160AEE" w:rsidRPr="00CF06A2">
        <w:rPr>
          <w:rFonts w:ascii="Arial" w:hAnsi="Arial" w:cs="Arial"/>
          <w:color w:val="auto"/>
          <w:sz w:val="22"/>
          <w:szCs w:val="22"/>
        </w:rPr>
        <w:t xml:space="preserve"> </w:t>
      </w:r>
      <w:r w:rsidR="00634AD9" w:rsidRPr="00CF06A2">
        <w:rPr>
          <w:rFonts w:ascii="Arial" w:hAnsi="Arial" w:cs="Arial"/>
          <w:color w:val="auto"/>
          <w:sz w:val="22"/>
          <w:szCs w:val="22"/>
        </w:rPr>
        <w:t xml:space="preserve">will </w:t>
      </w:r>
      <w:r w:rsidR="00160AEE" w:rsidRPr="00CF06A2">
        <w:rPr>
          <w:rFonts w:ascii="Arial" w:hAnsi="Arial" w:cs="Arial"/>
          <w:color w:val="auto"/>
          <w:sz w:val="22"/>
          <w:szCs w:val="22"/>
        </w:rPr>
        <w:t>negat</w:t>
      </w:r>
      <w:r w:rsidR="00634AD9" w:rsidRPr="00CF06A2">
        <w:rPr>
          <w:rFonts w:ascii="Arial" w:hAnsi="Arial" w:cs="Arial"/>
          <w:color w:val="auto"/>
          <w:sz w:val="22"/>
          <w:szCs w:val="22"/>
        </w:rPr>
        <w:t>e</w:t>
      </w:r>
      <w:r w:rsidR="00160AEE" w:rsidRPr="00CF06A2">
        <w:rPr>
          <w:rFonts w:ascii="Arial" w:hAnsi="Arial" w:cs="Arial"/>
          <w:color w:val="auto"/>
          <w:sz w:val="22"/>
          <w:szCs w:val="22"/>
        </w:rPr>
        <w:t xml:space="preserve"> the need for valuer input.  </w:t>
      </w:r>
    </w:p>
    <w:p w14:paraId="69489350" w14:textId="77777777" w:rsidR="00144B2C" w:rsidRPr="00CF06A2" w:rsidRDefault="00144B2C" w:rsidP="005032F7">
      <w:pPr>
        <w:pStyle w:val="Default"/>
        <w:rPr>
          <w:rFonts w:ascii="Arial" w:hAnsi="Arial" w:cs="Arial"/>
          <w:color w:val="auto"/>
          <w:sz w:val="22"/>
          <w:szCs w:val="22"/>
        </w:rPr>
      </w:pPr>
    </w:p>
    <w:p w14:paraId="20484745" w14:textId="77777777" w:rsidR="00144B2C" w:rsidRPr="00CF06A2" w:rsidRDefault="00EA6F93" w:rsidP="00E86D0C">
      <w:pPr>
        <w:pStyle w:val="Default"/>
        <w:rPr>
          <w:rFonts w:ascii="Arial" w:hAnsi="Arial" w:cs="Arial"/>
          <w:color w:val="auto"/>
          <w:sz w:val="22"/>
          <w:szCs w:val="22"/>
        </w:rPr>
      </w:pPr>
      <w:r w:rsidRPr="00CF06A2">
        <w:rPr>
          <w:rFonts w:ascii="Arial" w:hAnsi="Arial" w:cs="Arial"/>
          <w:color w:val="auto"/>
          <w:sz w:val="22"/>
          <w:szCs w:val="22"/>
        </w:rPr>
        <w:t>It is the responsibility of the entity to d</w:t>
      </w:r>
      <w:r w:rsidR="00144B2C" w:rsidRPr="00CF06A2">
        <w:rPr>
          <w:rFonts w:ascii="Arial" w:hAnsi="Arial" w:cs="Arial"/>
          <w:color w:val="auto"/>
          <w:sz w:val="22"/>
          <w:szCs w:val="22"/>
        </w:rPr>
        <w:t>etermin</w:t>
      </w:r>
      <w:r w:rsidRPr="00CF06A2">
        <w:rPr>
          <w:rFonts w:ascii="Arial" w:hAnsi="Arial" w:cs="Arial"/>
          <w:color w:val="auto"/>
          <w:sz w:val="22"/>
          <w:szCs w:val="22"/>
        </w:rPr>
        <w:t>e</w:t>
      </w:r>
      <w:r w:rsidR="00144B2C" w:rsidRPr="00CF06A2">
        <w:rPr>
          <w:rFonts w:ascii="Arial" w:hAnsi="Arial" w:cs="Arial"/>
          <w:color w:val="auto"/>
          <w:sz w:val="22"/>
          <w:szCs w:val="22"/>
        </w:rPr>
        <w:t xml:space="preserve"> whether the cost model is an appropriate proxy </w:t>
      </w:r>
      <w:r w:rsidR="00551C51" w:rsidRPr="00CF06A2">
        <w:rPr>
          <w:rFonts w:ascii="Arial" w:hAnsi="Arial" w:cs="Arial"/>
          <w:color w:val="auto"/>
          <w:sz w:val="22"/>
          <w:szCs w:val="22"/>
        </w:rPr>
        <w:t xml:space="preserve">which </w:t>
      </w:r>
      <w:r w:rsidRPr="00CF06A2">
        <w:rPr>
          <w:rFonts w:ascii="Arial" w:hAnsi="Arial" w:cs="Arial"/>
          <w:color w:val="auto"/>
          <w:sz w:val="22"/>
          <w:szCs w:val="22"/>
        </w:rPr>
        <w:t xml:space="preserve">can be </w:t>
      </w:r>
      <w:proofErr w:type="gramStart"/>
      <w:r w:rsidRPr="00CF06A2">
        <w:rPr>
          <w:rFonts w:ascii="Arial" w:hAnsi="Arial" w:cs="Arial"/>
          <w:color w:val="auto"/>
          <w:sz w:val="22"/>
          <w:szCs w:val="22"/>
        </w:rPr>
        <w:t>used</w:t>
      </w:r>
      <w:proofErr w:type="gramEnd"/>
      <w:r w:rsidRPr="00CF06A2">
        <w:rPr>
          <w:rFonts w:ascii="Arial" w:hAnsi="Arial" w:cs="Arial"/>
          <w:color w:val="auto"/>
          <w:sz w:val="22"/>
          <w:szCs w:val="22"/>
        </w:rPr>
        <w:t xml:space="preserve"> and this decision is to be taken </w:t>
      </w:r>
      <w:r w:rsidR="00160AEE" w:rsidRPr="00CF06A2">
        <w:rPr>
          <w:rFonts w:ascii="Arial" w:hAnsi="Arial" w:cs="Arial"/>
          <w:color w:val="auto"/>
          <w:sz w:val="22"/>
          <w:szCs w:val="22"/>
        </w:rPr>
        <w:t xml:space="preserve">individually </w:t>
      </w:r>
      <w:r w:rsidR="005032F7" w:rsidRPr="00CF06A2">
        <w:rPr>
          <w:rFonts w:ascii="Arial" w:hAnsi="Arial" w:cs="Arial"/>
          <w:color w:val="auto"/>
          <w:sz w:val="22"/>
          <w:szCs w:val="22"/>
        </w:rPr>
        <w:t xml:space="preserve">on an asset-by-asset basis.  In making </w:t>
      </w:r>
      <w:r w:rsidRPr="00CF06A2">
        <w:rPr>
          <w:rFonts w:ascii="Arial" w:hAnsi="Arial" w:cs="Arial"/>
          <w:color w:val="auto"/>
          <w:sz w:val="22"/>
          <w:szCs w:val="22"/>
        </w:rPr>
        <w:t xml:space="preserve">its </w:t>
      </w:r>
      <w:r w:rsidR="005032F7" w:rsidRPr="00CF06A2">
        <w:rPr>
          <w:rFonts w:ascii="Arial" w:hAnsi="Arial" w:cs="Arial"/>
          <w:color w:val="auto"/>
          <w:sz w:val="22"/>
          <w:szCs w:val="22"/>
        </w:rPr>
        <w:t xml:space="preserve">decision, the entity is </w:t>
      </w:r>
      <w:r w:rsidRPr="00CF06A2">
        <w:rPr>
          <w:rFonts w:ascii="Arial" w:hAnsi="Arial" w:cs="Arial"/>
          <w:color w:val="auto"/>
          <w:sz w:val="22"/>
          <w:szCs w:val="22"/>
        </w:rPr>
        <w:t xml:space="preserve">also </w:t>
      </w:r>
      <w:r w:rsidR="005032F7" w:rsidRPr="00CF06A2">
        <w:rPr>
          <w:rFonts w:ascii="Arial" w:hAnsi="Arial" w:cs="Arial"/>
          <w:color w:val="auto"/>
          <w:sz w:val="22"/>
          <w:szCs w:val="22"/>
        </w:rPr>
        <w:t>expected to have regard to materiality</w:t>
      </w:r>
      <w:r w:rsidRPr="00CF06A2">
        <w:rPr>
          <w:rFonts w:ascii="Arial" w:hAnsi="Arial" w:cs="Arial"/>
          <w:color w:val="auto"/>
          <w:sz w:val="22"/>
          <w:szCs w:val="22"/>
        </w:rPr>
        <w:t xml:space="preserve"> and o</w:t>
      </w:r>
      <w:r w:rsidR="00144B2C" w:rsidRPr="00CF06A2">
        <w:rPr>
          <w:rFonts w:ascii="Arial" w:hAnsi="Arial" w:cs="Arial"/>
          <w:color w:val="auto"/>
          <w:sz w:val="22"/>
          <w:szCs w:val="22"/>
        </w:rPr>
        <w:t>nly w</w:t>
      </w:r>
      <w:r w:rsidR="005032F7" w:rsidRPr="00CF06A2">
        <w:rPr>
          <w:rFonts w:ascii="Arial" w:hAnsi="Arial" w:cs="Arial"/>
          <w:color w:val="auto"/>
          <w:sz w:val="22"/>
          <w:szCs w:val="22"/>
        </w:rPr>
        <w:t xml:space="preserve">here </w:t>
      </w:r>
      <w:r w:rsidRPr="00CF06A2">
        <w:rPr>
          <w:rFonts w:ascii="Arial" w:hAnsi="Arial" w:cs="Arial"/>
          <w:color w:val="auto"/>
          <w:sz w:val="22"/>
          <w:szCs w:val="22"/>
        </w:rPr>
        <w:t xml:space="preserve">it </w:t>
      </w:r>
      <w:r w:rsidR="005032F7" w:rsidRPr="00CF06A2">
        <w:rPr>
          <w:rFonts w:ascii="Arial" w:hAnsi="Arial" w:cs="Arial"/>
          <w:color w:val="auto"/>
          <w:sz w:val="22"/>
          <w:szCs w:val="22"/>
        </w:rPr>
        <w:t xml:space="preserve">considers that there would be a significant difference between the </w:t>
      </w:r>
      <w:r w:rsidR="000A1EE1" w:rsidRPr="00CF06A2">
        <w:rPr>
          <w:rFonts w:ascii="Arial" w:hAnsi="Arial" w:cs="Arial"/>
          <w:color w:val="auto"/>
          <w:sz w:val="22"/>
          <w:szCs w:val="22"/>
        </w:rPr>
        <w:t>figure</w:t>
      </w:r>
      <w:r w:rsidR="005032F7" w:rsidRPr="00CF06A2">
        <w:rPr>
          <w:rFonts w:ascii="Arial" w:hAnsi="Arial" w:cs="Arial"/>
          <w:color w:val="auto"/>
          <w:sz w:val="22"/>
          <w:szCs w:val="22"/>
        </w:rPr>
        <w:t xml:space="preserve"> </w:t>
      </w:r>
      <w:r w:rsidR="005032F7" w:rsidRPr="00CF06A2">
        <w:rPr>
          <w:rFonts w:ascii="Arial" w:hAnsi="Arial" w:cs="Arial"/>
          <w:color w:val="auto"/>
          <w:sz w:val="22"/>
          <w:szCs w:val="22"/>
        </w:rPr>
        <w:lastRenderedPageBreak/>
        <w:t xml:space="preserve">produced by the </w:t>
      </w:r>
      <w:r w:rsidRPr="00CF06A2">
        <w:rPr>
          <w:rFonts w:ascii="Arial" w:hAnsi="Arial" w:cs="Arial"/>
          <w:color w:val="auto"/>
          <w:sz w:val="22"/>
          <w:szCs w:val="22"/>
        </w:rPr>
        <w:t xml:space="preserve">IFRS 16 </w:t>
      </w:r>
      <w:r w:rsidR="005032F7" w:rsidRPr="00CF06A2">
        <w:rPr>
          <w:rFonts w:ascii="Arial" w:hAnsi="Arial" w:cs="Arial"/>
          <w:color w:val="auto"/>
          <w:sz w:val="22"/>
          <w:szCs w:val="22"/>
        </w:rPr>
        <w:t xml:space="preserve">cost model and </w:t>
      </w:r>
      <w:r w:rsidR="000A1EE1" w:rsidRPr="00CF06A2">
        <w:rPr>
          <w:rFonts w:ascii="Arial" w:hAnsi="Arial" w:cs="Arial"/>
          <w:color w:val="auto"/>
          <w:sz w:val="22"/>
          <w:szCs w:val="22"/>
        </w:rPr>
        <w:t xml:space="preserve">that which </w:t>
      </w:r>
      <w:r w:rsidR="005032F7" w:rsidRPr="00CF06A2">
        <w:rPr>
          <w:rFonts w:ascii="Arial" w:hAnsi="Arial" w:cs="Arial"/>
          <w:color w:val="auto"/>
          <w:sz w:val="22"/>
          <w:szCs w:val="22"/>
        </w:rPr>
        <w:t xml:space="preserve">would be produced by the revaluation model </w:t>
      </w:r>
      <w:r w:rsidR="000A1EE1" w:rsidRPr="00CF06A2">
        <w:rPr>
          <w:rFonts w:ascii="Arial" w:hAnsi="Arial" w:cs="Arial"/>
          <w:color w:val="auto"/>
          <w:sz w:val="22"/>
          <w:szCs w:val="22"/>
        </w:rPr>
        <w:t xml:space="preserve">is use of the </w:t>
      </w:r>
      <w:r w:rsidRPr="00CF06A2">
        <w:rPr>
          <w:rFonts w:ascii="Arial" w:hAnsi="Arial" w:cs="Arial"/>
          <w:color w:val="auto"/>
          <w:sz w:val="22"/>
          <w:szCs w:val="22"/>
        </w:rPr>
        <w:t>latter expected</w:t>
      </w:r>
      <w:r w:rsidR="005032F7" w:rsidRPr="00CF06A2">
        <w:rPr>
          <w:rFonts w:ascii="Arial" w:hAnsi="Arial" w:cs="Arial"/>
          <w:color w:val="auto"/>
          <w:sz w:val="22"/>
          <w:szCs w:val="22"/>
        </w:rPr>
        <w:t xml:space="preserve">.  </w:t>
      </w:r>
    </w:p>
    <w:p w14:paraId="0FE2E86D" w14:textId="77777777" w:rsidR="00144B2C" w:rsidRPr="00CF06A2" w:rsidRDefault="00144B2C" w:rsidP="00E86D0C">
      <w:pPr>
        <w:pStyle w:val="Default"/>
        <w:rPr>
          <w:rFonts w:ascii="Arial" w:hAnsi="Arial" w:cs="Arial"/>
          <w:color w:val="auto"/>
          <w:sz w:val="22"/>
          <w:szCs w:val="22"/>
        </w:rPr>
      </w:pPr>
    </w:p>
    <w:p w14:paraId="0EFB6695" w14:textId="77777777" w:rsidR="00634AD9" w:rsidRPr="00CF06A2" w:rsidRDefault="00A053FD" w:rsidP="00623F5A">
      <w:pPr>
        <w:pStyle w:val="Default"/>
        <w:rPr>
          <w:rFonts w:ascii="Arial" w:hAnsi="Arial" w:cs="Arial"/>
          <w:color w:val="auto"/>
          <w:sz w:val="22"/>
          <w:szCs w:val="22"/>
        </w:rPr>
      </w:pPr>
      <w:r w:rsidRPr="00CF06A2">
        <w:rPr>
          <w:rFonts w:ascii="Arial" w:hAnsi="Arial" w:cs="Arial"/>
          <w:color w:val="auto"/>
          <w:sz w:val="22"/>
          <w:szCs w:val="22"/>
        </w:rPr>
        <w:t xml:space="preserve">Entities are to have regard to </w:t>
      </w:r>
      <w:proofErr w:type="gramStart"/>
      <w:r w:rsidRPr="00CF06A2">
        <w:rPr>
          <w:rFonts w:ascii="Arial" w:hAnsi="Arial" w:cs="Arial"/>
          <w:color w:val="auto"/>
          <w:sz w:val="22"/>
          <w:szCs w:val="22"/>
        </w:rPr>
        <w:t>a number of</w:t>
      </w:r>
      <w:proofErr w:type="gramEnd"/>
      <w:r w:rsidRPr="00CF06A2">
        <w:rPr>
          <w:rFonts w:ascii="Arial" w:hAnsi="Arial" w:cs="Arial"/>
          <w:color w:val="auto"/>
          <w:sz w:val="22"/>
          <w:szCs w:val="22"/>
        </w:rPr>
        <w:t xml:space="preserve"> indicators which, taken together, help </w:t>
      </w:r>
      <w:r w:rsidR="00E25CC3" w:rsidRPr="00CF06A2">
        <w:rPr>
          <w:rFonts w:ascii="Arial" w:hAnsi="Arial" w:cs="Arial"/>
          <w:color w:val="auto"/>
          <w:sz w:val="22"/>
          <w:szCs w:val="22"/>
        </w:rPr>
        <w:t xml:space="preserve">identify instances where the cost model </w:t>
      </w:r>
      <w:r w:rsidR="00B82C33" w:rsidRPr="00CF06A2">
        <w:rPr>
          <w:rFonts w:ascii="Arial" w:hAnsi="Arial" w:cs="Arial"/>
          <w:color w:val="auto"/>
          <w:sz w:val="22"/>
          <w:szCs w:val="22"/>
        </w:rPr>
        <w:t>w</w:t>
      </w:r>
      <w:r w:rsidR="00E25CC3" w:rsidRPr="00CF06A2">
        <w:rPr>
          <w:rFonts w:ascii="Arial" w:hAnsi="Arial" w:cs="Arial"/>
          <w:color w:val="auto"/>
          <w:sz w:val="22"/>
          <w:szCs w:val="22"/>
        </w:rPr>
        <w:t xml:space="preserve">ould </w:t>
      </w:r>
      <w:r w:rsidR="00B82C33" w:rsidRPr="00CF06A2">
        <w:rPr>
          <w:rFonts w:ascii="Arial" w:hAnsi="Arial" w:cs="Arial"/>
          <w:color w:val="auto"/>
          <w:sz w:val="22"/>
          <w:szCs w:val="22"/>
        </w:rPr>
        <w:t>not be an appropriate proxy for current value in existing use (or fair value)</w:t>
      </w:r>
      <w:r w:rsidRPr="00CF06A2">
        <w:rPr>
          <w:rFonts w:ascii="Arial" w:hAnsi="Arial" w:cs="Arial"/>
          <w:color w:val="auto"/>
          <w:sz w:val="22"/>
          <w:szCs w:val="22"/>
        </w:rPr>
        <w:t>.</w:t>
      </w:r>
      <w:r w:rsidR="00B82C33" w:rsidRPr="00CF06A2">
        <w:rPr>
          <w:rFonts w:ascii="Arial" w:hAnsi="Arial" w:cs="Arial"/>
          <w:color w:val="auto"/>
          <w:sz w:val="22"/>
          <w:szCs w:val="22"/>
        </w:rPr>
        <w:t xml:space="preserve"> </w:t>
      </w:r>
      <w:r w:rsidR="006906BE" w:rsidRPr="00CF06A2">
        <w:rPr>
          <w:rFonts w:ascii="Arial" w:hAnsi="Arial" w:cs="Arial"/>
          <w:color w:val="auto"/>
          <w:sz w:val="22"/>
          <w:szCs w:val="22"/>
        </w:rPr>
        <w:t>Indicators are:</w:t>
      </w:r>
    </w:p>
    <w:p w14:paraId="5D9B1275" w14:textId="77777777" w:rsidR="00634AD9" w:rsidRPr="00CF06A2" w:rsidRDefault="00634AD9" w:rsidP="00634AD9">
      <w:pPr>
        <w:pStyle w:val="Default"/>
        <w:rPr>
          <w:rFonts w:ascii="Arial" w:hAnsi="Arial" w:cs="Arial"/>
        </w:rPr>
      </w:pPr>
    </w:p>
    <w:p w14:paraId="211FF26A" w14:textId="77777777" w:rsidR="00634AD9" w:rsidRPr="00CF06A2" w:rsidRDefault="00634AD9" w:rsidP="006906BE">
      <w:pPr>
        <w:pStyle w:val="Default"/>
        <w:numPr>
          <w:ilvl w:val="0"/>
          <w:numId w:val="31"/>
        </w:numPr>
        <w:spacing w:after="193"/>
        <w:rPr>
          <w:rFonts w:ascii="Arial" w:hAnsi="Arial" w:cs="Arial"/>
          <w:sz w:val="22"/>
          <w:szCs w:val="22"/>
        </w:rPr>
      </w:pPr>
      <w:r w:rsidRPr="00CF06A2">
        <w:rPr>
          <w:rFonts w:ascii="Arial" w:hAnsi="Arial" w:cs="Arial"/>
          <w:sz w:val="22"/>
          <w:szCs w:val="22"/>
        </w:rPr>
        <w:t xml:space="preserve">A longer-term lease has no provisions to update lease payments for market conditions (such as rent reviews), or if there is a significant </w:t>
      </w:r>
      <w:proofErr w:type="gramStart"/>
      <w:r w:rsidRPr="00CF06A2">
        <w:rPr>
          <w:rFonts w:ascii="Arial" w:hAnsi="Arial" w:cs="Arial"/>
          <w:sz w:val="22"/>
          <w:szCs w:val="22"/>
        </w:rPr>
        <w:t>period of time</w:t>
      </w:r>
      <w:proofErr w:type="gramEnd"/>
      <w:r w:rsidRPr="00CF06A2">
        <w:rPr>
          <w:rFonts w:ascii="Arial" w:hAnsi="Arial" w:cs="Arial"/>
          <w:sz w:val="22"/>
          <w:szCs w:val="22"/>
        </w:rPr>
        <w:t xml:space="preserve"> between those updates; and </w:t>
      </w:r>
    </w:p>
    <w:p w14:paraId="61A3932A" w14:textId="77777777" w:rsidR="00634AD9" w:rsidRPr="00CF06A2" w:rsidRDefault="00634AD9" w:rsidP="001F2929">
      <w:pPr>
        <w:pStyle w:val="Default"/>
        <w:numPr>
          <w:ilvl w:val="0"/>
          <w:numId w:val="31"/>
        </w:numPr>
        <w:rPr>
          <w:rFonts w:ascii="Arial" w:hAnsi="Arial" w:cs="Arial"/>
          <w:color w:val="auto"/>
          <w:sz w:val="22"/>
          <w:szCs w:val="22"/>
        </w:rPr>
      </w:pPr>
      <w:r w:rsidRPr="00CF06A2">
        <w:rPr>
          <w:rFonts w:ascii="Arial" w:hAnsi="Arial" w:cs="Arial"/>
          <w:sz w:val="22"/>
          <w:szCs w:val="22"/>
        </w:rPr>
        <w:t xml:space="preserve">The fair value or current value in existing use of the underlying asset is likely to fluctuate significantly due to changes in market prices. </w:t>
      </w:r>
    </w:p>
    <w:p w14:paraId="5B51971C" w14:textId="77777777" w:rsidR="00634AD9" w:rsidRPr="00CF06A2" w:rsidRDefault="00634AD9" w:rsidP="00623F5A">
      <w:pPr>
        <w:pStyle w:val="Default"/>
        <w:rPr>
          <w:rFonts w:ascii="Arial" w:hAnsi="Arial" w:cs="Arial"/>
          <w:color w:val="auto"/>
          <w:sz w:val="22"/>
          <w:szCs w:val="22"/>
        </w:rPr>
      </w:pPr>
    </w:p>
    <w:p w14:paraId="641EF9BE" w14:textId="77777777" w:rsidR="007243BD" w:rsidRPr="00CF06A2" w:rsidRDefault="00B82C33" w:rsidP="007243BD">
      <w:pPr>
        <w:pStyle w:val="Default"/>
        <w:rPr>
          <w:rFonts w:ascii="Arial" w:hAnsi="Arial" w:cs="Arial"/>
          <w:sz w:val="22"/>
          <w:szCs w:val="22"/>
        </w:rPr>
      </w:pPr>
      <w:r w:rsidRPr="00CF06A2">
        <w:rPr>
          <w:rFonts w:ascii="Arial" w:hAnsi="Arial" w:cs="Arial"/>
          <w:sz w:val="22"/>
          <w:szCs w:val="22"/>
        </w:rPr>
        <w:t>P</w:t>
      </w:r>
      <w:r w:rsidR="007243BD" w:rsidRPr="00CF06A2">
        <w:rPr>
          <w:rFonts w:ascii="Arial" w:hAnsi="Arial" w:cs="Arial"/>
          <w:sz w:val="22"/>
          <w:szCs w:val="22"/>
        </w:rPr>
        <w:t>eppercorn leases or leases provided for nil</w:t>
      </w:r>
      <w:r w:rsidR="007243BD" w:rsidRPr="00CF06A2">
        <w:rPr>
          <w:rFonts w:ascii="Arial" w:hAnsi="Arial" w:cs="Arial"/>
          <w:sz w:val="14"/>
          <w:szCs w:val="14"/>
        </w:rPr>
        <w:t xml:space="preserve"> </w:t>
      </w:r>
      <w:r w:rsidR="007243BD" w:rsidRPr="00CF06A2">
        <w:rPr>
          <w:rFonts w:ascii="Arial" w:hAnsi="Arial" w:cs="Arial"/>
          <w:sz w:val="22"/>
          <w:szCs w:val="22"/>
        </w:rPr>
        <w:t xml:space="preserve">or nominal consideration will require application of the revaluation model </w:t>
      </w:r>
      <w:r w:rsidR="002A3B67" w:rsidRPr="00CF06A2">
        <w:rPr>
          <w:rFonts w:ascii="Arial" w:hAnsi="Arial" w:cs="Arial"/>
          <w:sz w:val="22"/>
          <w:szCs w:val="22"/>
        </w:rPr>
        <w:t xml:space="preserve">as the </w:t>
      </w:r>
      <w:r w:rsidR="007243BD" w:rsidRPr="00CF06A2">
        <w:rPr>
          <w:rFonts w:ascii="Arial" w:hAnsi="Arial" w:cs="Arial"/>
          <w:sz w:val="22"/>
          <w:szCs w:val="22"/>
        </w:rPr>
        <w:t>IFRS 16 cost model would not result in an appropriate valuation for the right-of-use asset</w:t>
      </w:r>
      <w:r w:rsidR="002A3B67" w:rsidRPr="00CF06A2">
        <w:rPr>
          <w:rFonts w:ascii="Arial" w:hAnsi="Arial" w:cs="Arial"/>
          <w:sz w:val="22"/>
          <w:szCs w:val="22"/>
        </w:rPr>
        <w:t>.</w:t>
      </w:r>
    </w:p>
    <w:p w14:paraId="135FCF6F" w14:textId="77777777" w:rsidR="000A1EE1" w:rsidRPr="00CF06A2" w:rsidRDefault="000A1EE1" w:rsidP="00B77AC4">
      <w:pPr>
        <w:pStyle w:val="Default"/>
        <w:rPr>
          <w:rFonts w:ascii="Arial" w:hAnsi="Arial" w:cs="Arial"/>
          <w:b/>
          <w:color w:val="auto"/>
          <w:sz w:val="22"/>
          <w:szCs w:val="22"/>
        </w:rPr>
      </w:pPr>
    </w:p>
    <w:p w14:paraId="5DA58DE5" w14:textId="77777777" w:rsidR="00E05E8F" w:rsidRPr="00CF06A2" w:rsidRDefault="00E05E8F" w:rsidP="00B77AC4">
      <w:pPr>
        <w:pStyle w:val="Default"/>
        <w:rPr>
          <w:rFonts w:ascii="Arial" w:hAnsi="Arial" w:cs="Arial"/>
          <w:b/>
          <w:sz w:val="22"/>
          <w:szCs w:val="22"/>
        </w:rPr>
      </w:pPr>
      <w:r w:rsidRPr="00CF06A2">
        <w:rPr>
          <w:rFonts w:ascii="Arial" w:hAnsi="Arial" w:cs="Arial"/>
          <w:b/>
          <w:sz w:val="22"/>
          <w:szCs w:val="22"/>
        </w:rPr>
        <w:t>Revaluation Model</w:t>
      </w:r>
    </w:p>
    <w:p w14:paraId="3341695A" w14:textId="77777777" w:rsidR="00A053FD" w:rsidRPr="00CF06A2" w:rsidRDefault="00A053FD" w:rsidP="006B2BA1">
      <w:pPr>
        <w:pStyle w:val="Default"/>
        <w:rPr>
          <w:rFonts w:ascii="Arial" w:hAnsi="Arial" w:cs="Arial"/>
          <w:color w:val="1F4E79" w:themeColor="accent1" w:themeShade="80"/>
          <w:sz w:val="22"/>
          <w:szCs w:val="22"/>
        </w:rPr>
      </w:pPr>
    </w:p>
    <w:p w14:paraId="6F736F65" w14:textId="77777777" w:rsidR="007243BD" w:rsidRPr="00CF06A2" w:rsidRDefault="006B2BA1" w:rsidP="006B2BA1">
      <w:pPr>
        <w:pStyle w:val="Default"/>
        <w:rPr>
          <w:rFonts w:ascii="Arial" w:hAnsi="Arial" w:cs="Arial"/>
          <w:color w:val="auto"/>
          <w:sz w:val="22"/>
          <w:szCs w:val="22"/>
        </w:rPr>
      </w:pPr>
      <w:r w:rsidRPr="00CF06A2">
        <w:rPr>
          <w:rFonts w:ascii="Arial" w:hAnsi="Arial" w:cs="Arial"/>
          <w:color w:val="auto"/>
          <w:sz w:val="22"/>
          <w:szCs w:val="22"/>
        </w:rPr>
        <w:t xml:space="preserve">Where </w:t>
      </w:r>
      <w:r w:rsidR="0091662E" w:rsidRPr="00CF06A2">
        <w:rPr>
          <w:rFonts w:ascii="Arial" w:hAnsi="Arial" w:cs="Arial"/>
          <w:color w:val="auto"/>
          <w:sz w:val="22"/>
          <w:szCs w:val="22"/>
        </w:rPr>
        <w:t xml:space="preserve">a valuer is instructed to apply </w:t>
      </w:r>
      <w:r w:rsidRPr="00CF06A2">
        <w:rPr>
          <w:rFonts w:ascii="Arial" w:hAnsi="Arial" w:cs="Arial"/>
          <w:color w:val="auto"/>
          <w:sz w:val="22"/>
          <w:szCs w:val="22"/>
        </w:rPr>
        <w:t xml:space="preserve">the revaluation </w:t>
      </w:r>
      <w:r w:rsidR="007243BD" w:rsidRPr="00CF06A2">
        <w:rPr>
          <w:rFonts w:ascii="Arial" w:hAnsi="Arial" w:cs="Arial"/>
          <w:color w:val="auto"/>
          <w:sz w:val="22"/>
          <w:szCs w:val="22"/>
        </w:rPr>
        <w:t>model</w:t>
      </w:r>
      <w:r w:rsidR="0091662E" w:rsidRPr="00CF06A2">
        <w:rPr>
          <w:rFonts w:ascii="Arial" w:hAnsi="Arial" w:cs="Arial"/>
          <w:color w:val="auto"/>
          <w:sz w:val="22"/>
          <w:szCs w:val="22"/>
        </w:rPr>
        <w:t xml:space="preserve"> to arrive at the current value in existing use of a lessee’s right-of-use asset, </w:t>
      </w:r>
      <w:r w:rsidR="006628A0" w:rsidRPr="00CF06A2">
        <w:rPr>
          <w:rFonts w:ascii="Arial" w:hAnsi="Arial" w:cs="Arial"/>
          <w:color w:val="auto"/>
          <w:sz w:val="22"/>
          <w:szCs w:val="22"/>
        </w:rPr>
        <w:t xml:space="preserve">caution is necessary as </w:t>
      </w:r>
      <w:r w:rsidRPr="00CF06A2">
        <w:rPr>
          <w:rFonts w:ascii="Arial" w:hAnsi="Arial" w:cs="Arial"/>
          <w:color w:val="auto"/>
          <w:sz w:val="22"/>
          <w:szCs w:val="22"/>
        </w:rPr>
        <w:t xml:space="preserve">the approach </w:t>
      </w:r>
      <w:r w:rsidR="0091662E" w:rsidRPr="00CF06A2">
        <w:rPr>
          <w:rFonts w:ascii="Arial" w:hAnsi="Arial" w:cs="Arial"/>
          <w:color w:val="auto"/>
          <w:sz w:val="22"/>
          <w:szCs w:val="22"/>
        </w:rPr>
        <w:t xml:space="preserve">required </w:t>
      </w:r>
      <w:r w:rsidRPr="00CF06A2">
        <w:rPr>
          <w:rFonts w:ascii="Arial" w:hAnsi="Arial" w:cs="Arial"/>
          <w:color w:val="auto"/>
          <w:sz w:val="22"/>
          <w:szCs w:val="22"/>
        </w:rPr>
        <w:t xml:space="preserve">is different to </w:t>
      </w:r>
      <w:r w:rsidR="007243BD" w:rsidRPr="00CF06A2">
        <w:rPr>
          <w:rFonts w:ascii="Arial" w:hAnsi="Arial" w:cs="Arial"/>
          <w:color w:val="auto"/>
          <w:sz w:val="22"/>
          <w:szCs w:val="22"/>
        </w:rPr>
        <w:t xml:space="preserve">that which </w:t>
      </w:r>
      <w:r w:rsidR="006628A0" w:rsidRPr="00CF06A2">
        <w:rPr>
          <w:rFonts w:ascii="Arial" w:hAnsi="Arial" w:cs="Arial"/>
          <w:color w:val="auto"/>
          <w:sz w:val="22"/>
          <w:szCs w:val="22"/>
        </w:rPr>
        <w:t xml:space="preserve">a </w:t>
      </w:r>
      <w:r w:rsidR="007243BD" w:rsidRPr="00CF06A2">
        <w:rPr>
          <w:rFonts w:ascii="Arial" w:hAnsi="Arial" w:cs="Arial"/>
          <w:color w:val="auto"/>
          <w:sz w:val="22"/>
          <w:szCs w:val="22"/>
        </w:rPr>
        <w:t xml:space="preserve">valuer </w:t>
      </w:r>
      <w:r w:rsidRPr="00CF06A2">
        <w:rPr>
          <w:rFonts w:ascii="Arial" w:hAnsi="Arial" w:cs="Arial"/>
          <w:color w:val="auto"/>
          <w:sz w:val="22"/>
          <w:szCs w:val="22"/>
        </w:rPr>
        <w:t>w</w:t>
      </w:r>
      <w:r w:rsidR="006628A0" w:rsidRPr="00CF06A2">
        <w:rPr>
          <w:rFonts w:ascii="Arial" w:hAnsi="Arial" w:cs="Arial"/>
          <w:color w:val="auto"/>
          <w:sz w:val="22"/>
          <w:szCs w:val="22"/>
        </w:rPr>
        <w:t xml:space="preserve">ould traditionally </w:t>
      </w:r>
      <w:r w:rsidR="007243BD" w:rsidRPr="00CF06A2">
        <w:rPr>
          <w:rFonts w:ascii="Arial" w:hAnsi="Arial" w:cs="Arial"/>
          <w:color w:val="auto"/>
          <w:sz w:val="22"/>
          <w:szCs w:val="22"/>
        </w:rPr>
        <w:t xml:space="preserve">adopt </w:t>
      </w:r>
      <w:r w:rsidR="0091662E" w:rsidRPr="00CF06A2">
        <w:rPr>
          <w:rFonts w:ascii="Arial" w:hAnsi="Arial" w:cs="Arial"/>
          <w:color w:val="auto"/>
          <w:sz w:val="22"/>
          <w:szCs w:val="22"/>
        </w:rPr>
        <w:t xml:space="preserve">when </w:t>
      </w:r>
      <w:r w:rsidRPr="00CF06A2">
        <w:rPr>
          <w:rFonts w:ascii="Arial" w:hAnsi="Arial" w:cs="Arial"/>
          <w:color w:val="auto"/>
          <w:sz w:val="22"/>
          <w:szCs w:val="22"/>
        </w:rPr>
        <w:t>valu</w:t>
      </w:r>
      <w:r w:rsidR="0091662E" w:rsidRPr="00CF06A2">
        <w:rPr>
          <w:rFonts w:ascii="Arial" w:hAnsi="Arial" w:cs="Arial"/>
          <w:color w:val="auto"/>
          <w:sz w:val="22"/>
          <w:szCs w:val="22"/>
        </w:rPr>
        <w:t>ing</w:t>
      </w:r>
      <w:r w:rsidRPr="00CF06A2">
        <w:rPr>
          <w:rFonts w:ascii="Arial" w:hAnsi="Arial" w:cs="Arial"/>
          <w:color w:val="auto"/>
          <w:sz w:val="22"/>
          <w:szCs w:val="22"/>
        </w:rPr>
        <w:t xml:space="preserve"> a lessee’s interest</w:t>
      </w:r>
      <w:r w:rsidR="0091662E" w:rsidRPr="00CF06A2">
        <w:rPr>
          <w:rFonts w:ascii="Arial" w:hAnsi="Arial" w:cs="Arial"/>
          <w:color w:val="auto"/>
          <w:sz w:val="22"/>
          <w:szCs w:val="22"/>
        </w:rPr>
        <w:t xml:space="preserve"> in a lease</w:t>
      </w:r>
      <w:r w:rsidRPr="00CF06A2">
        <w:rPr>
          <w:rFonts w:ascii="Arial" w:hAnsi="Arial" w:cs="Arial"/>
          <w:color w:val="auto"/>
          <w:sz w:val="22"/>
          <w:szCs w:val="22"/>
        </w:rPr>
        <w:t>.</w:t>
      </w:r>
      <w:r w:rsidR="007243BD" w:rsidRPr="00CF06A2">
        <w:rPr>
          <w:rFonts w:ascii="Arial" w:hAnsi="Arial" w:cs="Arial"/>
          <w:color w:val="auto"/>
          <w:sz w:val="22"/>
          <w:szCs w:val="22"/>
        </w:rPr>
        <w:t xml:space="preserve"> </w:t>
      </w:r>
      <w:r w:rsidRPr="00CF06A2">
        <w:rPr>
          <w:rFonts w:ascii="Arial" w:hAnsi="Arial" w:cs="Arial"/>
          <w:color w:val="auto"/>
          <w:sz w:val="22"/>
          <w:szCs w:val="22"/>
        </w:rPr>
        <w:t> </w:t>
      </w:r>
    </w:p>
    <w:p w14:paraId="3A855D65" w14:textId="77777777" w:rsidR="007243BD" w:rsidRPr="00CF06A2" w:rsidRDefault="007243BD" w:rsidP="006B2BA1">
      <w:pPr>
        <w:pStyle w:val="Default"/>
        <w:rPr>
          <w:rFonts w:ascii="Arial" w:hAnsi="Arial" w:cs="Arial"/>
          <w:color w:val="auto"/>
          <w:sz w:val="22"/>
          <w:szCs w:val="22"/>
        </w:rPr>
      </w:pPr>
    </w:p>
    <w:p w14:paraId="295CAE28" w14:textId="77777777" w:rsidR="006B2BA1" w:rsidRPr="00CF06A2" w:rsidRDefault="006628A0" w:rsidP="006B2BA1">
      <w:pPr>
        <w:pStyle w:val="Default"/>
        <w:rPr>
          <w:rFonts w:ascii="Arial" w:hAnsi="Arial" w:cs="Arial"/>
          <w:color w:val="auto"/>
          <w:sz w:val="22"/>
          <w:szCs w:val="22"/>
        </w:rPr>
      </w:pPr>
      <w:r w:rsidRPr="00CF06A2">
        <w:rPr>
          <w:rFonts w:ascii="Arial" w:hAnsi="Arial" w:cs="Arial"/>
          <w:color w:val="auto"/>
          <w:sz w:val="22"/>
          <w:szCs w:val="22"/>
        </w:rPr>
        <w:t>The c</w:t>
      </w:r>
      <w:r w:rsidR="0091662E" w:rsidRPr="00CF06A2">
        <w:rPr>
          <w:rFonts w:ascii="Arial" w:hAnsi="Arial" w:cs="Arial"/>
          <w:color w:val="auto"/>
          <w:sz w:val="22"/>
          <w:szCs w:val="22"/>
        </w:rPr>
        <w:t xml:space="preserve">urrent value in existing use of a right-of-use asset is to be calculated on a ‘deprival or cost of replacement’ basis which </w:t>
      </w:r>
      <w:r w:rsidRPr="00CF06A2">
        <w:rPr>
          <w:rFonts w:ascii="Arial" w:hAnsi="Arial" w:cs="Arial"/>
          <w:color w:val="auto"/>
          <w:sz w:val="22"/>
          <w:szCs w:val="22"/>
        </w:rPr>
        <w:t>involves</w:t>
      </w:r>
      <w:r w:rsidR="0091662E" w:rsidRPr="00CF06A2">
        <w:rPr>
          <w:rFonts w:ascii="Arial" w:hAnsi="Arial" w:cs="Arial"/>
          <w:color w:val="auto"/>
          <w:sz w:val="22"/>
          <w:szCs w:val="22"/>
        </w:rPr>
        <w:t xml:space="preserve"> reflecting </w:t>
      </w:r>
      <w:r w:rsidR="007243BD" w:rsidRPr="00CF06A2">
        <w:rPr>
          <w:rFonts w:ascii="Arial" w:hAnsi="Arial" w:cs="Arial"/>
          <w:color w:val="auto"/>
          <w:sz w:val="22"/>
          <w:szCs w:val="22"/>
        </w:rPr>
        <w:t xml:space="preserve">the </w:t>
      </w:r>
      <w:r w:rsidR="0091662E" w:rsidRPr="00CF06A2">
        <w:rPr>
          <w:rFonts w:ascii="Arial" w:hAnsi="Arial" w:cs="Arial"/>
          <w:color w:val="auto"/>
          <w:sz w:val="22"/>
          <w:szCs w:val="22"/>
        </w:rPr>
        <w:t xml:space="preserve">potential as well as actual </w:t>
      </w:r>
      <w:r w:rsidR="006B2BA1" w:rsidRPr="00CF06A2">
        <w:rPr>
          <w:rFonts w:ascii="Arial" w:hAnsi="Arial" w:cs="Arial"/>
          <w:color w:val="auto"/>
          <w:sz w:val="22"/>
          <w:szCs w:val="22"/>
        </w:rPr>
        <w:t xml:space="preserve">rental outgoings </w:t>
      </w:r>
      <w:r w:rsidRPr="00CF06A2">
        <w:rPr>
          <w:rFonts w:ascii="Arial" w:hAnsi="Arial" w:cs="Arial"/>
          <w:color w:val="auto"/>
          <w:sz w:val="22"/>
          <w:szCs w:val="22"/>
        </w:rPr>
        <w:t xml:space="preserve">of </w:t>
      </w:r>
      <w:r w:rsidR="0091662E" w:rsidRPr="00CF06A2">
        <w:rPr>
          <w:rFonts w:ascii="Arial" w:hAnsi="Arial" w:cs="Arial"/>
          <w:color w:val="auto"/>
          <w:sz w:val="22"/>
          <w:szCs w:val="22"/>
        </w:rPr>
        <w:t>the asset</w:t>
      </w:r>
      <w:r w:rsidRPr="00CF06A2">
        <w:rPr>
          <w:rFonts w:ascii="Arial" w:hAnsi="Arial" w:cs="Arial"/>
          <w:color w:val="auto"/>
          <w:sz w:val="22"/>
          <w:szCs w:val="22"/>
        </w:rPr>
        <w:t xml:space="preserve">, the purpose being </w:t>
      </w:r>
      <w:r w:rsidR="0091662E" w:rsidRPr="00CF06A2">
        <w:rPr>
          <w:rFonts w:ascii="Arial" w:hAnsi="Arial" w:cs="Arial"/>
          <w:color w:val="auto"/>
          <w:sz w:val="22"/>
          <w:szCs w:val="22"/>
        </w:rPr>
        <w:t xml:space="preserve">to reflect </w:t>
      </w:r>
      <w:r w:rsidR="00DC0F12" w:rsidRPr="00CF06A2">
        <w:rPr>
          <w:rFonts w:ascii="Arial" w:hAnsi="Arial" w:cs="Arial"/>
          <w:color w:val="auto"/>
          <w:sz w:val="22"/>
          <w:szCs w:val="22"/>
        </w:rPr>
        <w:t>the</w:t>
      </w:r>
      <w:r w:rsidR="0091662E" w:rsidRPr="00CF06A2">
        <w:rPr>
          <w:rFonts w:ascii="Arial" w:hAnsi="Arial" w:cs="Arial"/>
          <w:color w:val="auto"/>
          <w:sz w:val="22"/>
          <w:szCs w:val="22"/>
        </w:rPr>
        <w:t xml:space="preserve"> </w:t>
      </w:r>
      <w:r w:rsidR="007243BD" w:rsidRPr="00CF06A2">
        <w:rPr>
          <w:rFonts w:ascii="Arial" w:hAnsi="Arial" w:cs="Arial"/>
          <w:color w:val="auto"/>
          <w:sz w:val="22"/>
          <w:szCs w:val="22"/>
        </w:rPr>
        <w:t xml:space="preserve">full value </w:t>
      </w:r>
      <w:r w:rsidR="00DC0F12" w:rsidRPr="00CF06A2">
        <w:rPr>
          <w:rFonts w:ascii="Arial" w:hAnsi="Arial" w:cs="Arial"/>
          <w:color w:val="auto"/>
          <w:sz w:val="22"/>
          <w:szCs w:val="22"/>
        </w:rPr>
        <w:t xml:space="preserve">of the right-of-use asset </w:t>
      </w:r>
      <w:r w:rsidR="0091662E" w:rsidRPr="00CF06A2">
        <w:rPr>
          <w:rFonts w:ascii="Arial" w:hAnsi="Arial" w:cs="Arial"/>
          <w:color w:val="auto"/>
          <w:sz w:val="22"/>
          <w:szCs w:val="22"/>
        </w:rPr>
        <w:t xml:space="preserve">to the entity were </w:t>
      </w:r>
      <w:r w:rsidRPr="00CF06A2">
        <w:rPr>
          <w:rFonts w:ascii="Arial" w:hAnsi="Arial" w:cs="Arial"/>
          <w:color w:val="auto"/>
          <w:sz w:val="22"/>
          <w:szCs w:val="22"/>
        </w:rPr>
        <w:t xml:space="preserve">the entity </w:t>
      </w:r>
      <w:r w:rsidR="007243BD" w:rsidRPr="00CF06A2">
        <w:rPr>
          <w:rFonts w:ascii="Arial" w:hAnsi="Arial" w:cs="Arial"/>
          <w:color w:val="auto"/>
          <w:sz w:val="22"/>
          <w:szCs w:val="22"/>
        </w:rPr>
        <w:t xml:space="preserve">to be deprived </w:t>
      </w:r>
      <w:r w:rsidR="0091662E" w:rsidRPr="00CF06A2">
        <w:rPr>
          <w:rFonts w:ascii="Arial" w:hAnsi="Arial" w:cs="Arial"/>
          <w:color w:val="auto"/>
          <w:sz w:val="22"/>
          <w:szCs w:val="22"/>
        </w:rPr>
        <w:t>of the property and have to identically replace</w:t>
      </w:r>
      <w:r w:rsidR="006B2BA1" w:rsidRPr="00CF06A2">
        <w:rPr>
          <w:rFonts w:ascii="Arial" w:hAnsi="Arial" w:cs="Arial"/>
          <w:color w:val="auto"/>
          <w:sz w:val="22"/>
          <w:szCs w:val="22"/>
        </w:rPr>
        <w:t xml:space="preserve"> </w:t>
      </w:r>
      <w:r w:rsidR="0091662E" w:rsidRPr="00CF06A2">
        <w:rPr>
          <w:rFonts w:ascii="Arial" w:hAnsi="Arial" w:cs="Arial"/>
          <w:color w:val="auto"/>
          <w:sz w:val="22"/>
          <w:szCs w:val="22"/>
        </w:rPr>
        <w:t>it.</w:t>
      </w:r>
    </w:p>
    <w:p w14:paraId="6391EC6D" w14:textId="77777777" w:rsidR="006B2BA1" w:rsidRPr="00CF06A2" w:rsidRDefault="006B2BA1" w:rsidP="006B2BA1">
      <w:pPr>
        <w:pStyle w:val="Default"/>
        <w:rPr>
          <w:rFonts w:ascii="Arial" w:hAnsi="Arial" w:cs="Arial"/>
          <w:color w:val="auto"/>
          <w:sz w:val="22"/>
          <w:szCs w:val="22"/>
        </w:rPr>
      </w:pPr>
    </w:p>
    <w:p w14:paraId="7027FEC4" w14:textId="77777777" w:rsidR="00FE1139" w:rsidRPr="00CF06A2" w:rsidRDefault="006B2BA1" w:rsidP="006B2BA1">
      <w:pPr>
        <w:pStyle w:val="Default"/>
        <w:rPr>
          <w:rFonts w:ascii="Arial" w:hAnsi="Arial" w:cs="Arial"/>
          <w:color w:val="auto"/>
          <w:sz w:val="22"/>
          <w:szCs w:val="22"/>
        </w:rPr>
      </w:pPr>
      <w:r w:rsidRPr="00CF06A2">
        <w:rPr>
          <w:rFonts w:ascii="Arial" w:hAnsi="Arial" w:cs="Arial"/>
          <w:color w:val="auto"/>
          <w:sz w:val="22"/>
          <w:szCs w:val="22"/>
        </w:rPr>
        <w:t xml:space="preserve">The valuer is required to </w:t>
      </w:r>
      <w:r w:rsidR="001F4333" w:rsidRPr="00CF06A2">
        <w:rPr>
          <w:rFonts w:ascii="Arial" w:hAnsi="Arial" w:cs="Arial"/>
          <w:color w:val="auto"/>
          <w:sz w:val="22"/>
          <w:szCs w:val="22"/>
        </w:rPr>
        <w:t xml:space="preserve">first </w:t>
      </w:r>
      <w:r w:rsidRPr="00CF06A2">
        <w:rPr>
          <w:rFonts w:ascii="Arial" w:hAnsi="Arial" w:cs="Arial"/>
          <w:color w:val="auto"/>
          <w:sz w:val="22"/>
          <w:szCs w:val="22"/>
        </w:rPr>
        <w:t xml:space="preserve">identify the current market rental value for existing use that could be achieved for the right-of-use asset </w:t>
      </w:r>
      <w:r w:rsidR="00E341D8" w:rsidRPr="00CF06A2">
        <w:rPr>
          <w:rFonts w:ascii="Arial" w:hAnsi="Arial" w:cs="Arial"/>
          <w:color w:val="auto"/>
          <w:sz w:val="22"/>
          <w:szCs w:val="22"/>
        </w:rPr>
        <w:t>as at the valuation date</w:t>
      </w:r>
      <w:r w:rsidR="001F4333" w:rsidRPr="00CF06A2">
        <w:rPr>
          <w:rFonts w:ascii="Arial" w:hAnsi="Arial" w:cs="Arial"/>
          <w:color w:val="auto"/>
          <w:sz w:val="22"/>
          <w:szCs w:val="22"/>
        </w:rPr>
        <w:t xml:space="preserve">, having regard to all the existing lease terms and conditions </w:t>
      </w:r>
      <w:proofErr w:type="gramStart"/>
      <w:r w:rsidR="001F4333" w:rsidRPr="00CF06A2">
        <w:rPr>
          <w:rFonts w:ascii="Arial" w:hAnsi="Arial" w:cs="Arial"/>
          <w:color w:val="auto"/>
          <w:sz w:val="22"/>
          <w:szCs w:val="22"/>
        </w:rPr>
        <w:t>with the exception of</w:t>
      </w:r>
      <w:proofErr w:type="gramEnd"/>
      <w:r w:rsidR="001F4333" w:rsidRPr="00CF06A2">
        <w:rPr>
          <w:rFonts w:ascii="Arial" w:hAnsi="Arial" w:cs="Arial"/>
          <w:color w:val="auto"/>
          <w:sz w:val="22"/>
          <w:szCs w:val="22"/>
        </w:rPr>
        <w:t xml:space="preserve"> </w:t>
      </w:r>
      <w:r w:rsidR="006628A0" w:rsidRPr="00CF06A2">
        <w:rPr>
          <w:rFonts w:ascii="Arial" w:hAnsi="Arial" w:cs="Arial"/>
          <w:color w:val="auto"/>
          <w:sz w:val="22"/>
          <w:szCs w:val="22"/>
        </w:rPr>
        <w:t xml:space="preserve">any </w:t>
      </w:r>
      <w:r w:rsidR="001F4333" w:rsidRPr="00CF06A2">
        <w:rPr>
          <w:rFonts w:ascii="Arial" w:hAnsi="Arial" w:cs="Arial"/>
          <w:color w:val="auto"/>
          <w:sz w:val="22"/>
          <w:szCs w:val="22"/>
        </w:rPr>
        <w:t xml:space="preserve">contractual review date.  </w:t>
      </w:r>
    </w:p>
    <w:p w14:paraId="496597FE" w14:textId="77777777" w:rsidR="00FE1139" w:rsidRPr="00CF06A2" w:rsidRDefault="00FE1139" w:rsidP="006B2BA1">
      <w:pPr>
        <w:pStyle w:val="Default"/>
        <w:rPr>
          <w:rFonts w:ascii="Arial" w:hAnsi="Arial" w:cs="Arial"/>
          <w:color w:val="auto"/>
          <w:sz w:val="22"/>
          <w:szCs w:val="22"/>
        </w:rPr>
      </w:pPr>
    </w:p>
    <w:p w14:paraId="5984CF9A" w14:textId="77777777" w:rsidR="006B2BA1" w:rsidRDefault="001F4333" w:rsidP="006B2BA1">
      <w:pPr>
        <w:pStyle w:val="Default"/>
        <w:rPr>
          <w:rFonts w:ascii="Arial" w:hAnsi="Arial" w:cs="Arial"/>
          <w:color w:val="auto"/>
          <w:sz w:val="22"/>
          <w:szCs w:val="22"/>
        </w:rPr>
      </w:pPr>
      <w:r w:rsidRPr="00CF06A2">
        <w:rPr>
          <w:rFonts w:ascii="Arial" w:hAnsi="Arial" w:cs="Arial"/>
          <w:color w:val="auto"/>
          <w:sz w:val="22"/>
          <w:szCs w:val="22"/>
        </w:rPr>
        <w:t xml:space="preserve">The valuer will reflect an assumption that the entity requires the entire right-of-use asset as designated for their use in the lease.  Using an appropriate market yield, that rental figure will then be </w:t>
      </w:r>
      <w:r w:rsidR="006B2BA1" w:rsidRPr="00CF06A2">
        <w:rPr>
          <w:rFonts w:ascii="Arial" w:hAnsi="Arial" w:cs="Arial"/>
          <w:color w:val="auto"/>
          <w:sz w:val="22"/>
          <w:szCs w:val="22"/>
        </w:rPr>
        <w:t>capitalise</w:t>
      </w:r>
      <w:r w:rsidRPr="00CF06A2">
        <w:rPr>
          <w:rFonts w:ascii="Arial" w:hAnsi="Arial" w:cs="Arial"/>
          <w:color w:val="auto"/>
          <w:sz w:val="22"/>
          <w:szCs w:val="22"/>
        </w:rPr>
        <w:t xml:space="preserve">d </w:t>
      </w:r>
      <w:r w:rsidR="006B2BA1" w:rsidRPr="00CF06A2">
        <w:rPr>
          <w:rFonts w:ascii="Arial" w:hAnsi="Arial" w:cs="Arial"/>
          <w:color w:val="auto"/>
          <w:sz w:val="22"/>
          <w:szCs w:val="22"/>
        </w:rPr>
        <w:t xml:space="preserve">for the full remaining lease term </w:t>
      </w:r>
      <w:r w:rsidR="00FE1139" w:rsidRPr="00CF06A2">
        <w:rPr>
          <w:rFonts w:ascii="Arial" w:hAnsi="Arial" w:cs="Arial"/>
          <w:color w:val="auto"/>
          <w:sz w:val="22"/>
          <w:szCs w:val="22"/>
        </w:rPr>
        <w:t xml:space="preserve">which has been determined </w:t>
      </w:r>
      <w:r w:rsidR="0091662E" w:rsidRPr="00CF06A2">
        <w:rPr>
          <w:rFonts w:ascii="Arial" w:hAnsi="Arial" w:cs="Arial"/>
          <w:color w:val="auto"/>
          <w:sz w:val="22"/>
          <w:szCs w:val="22"/>
        </w:rPr>
        <w:t xml:space="preserve">(having regard to the definition of lease term above) from the valuation date </w:t>
      </w:r>
      <w:r w:rsidR="006B2BA1" w:rsidRPr="00CF06A2">
        <w:rPr>
          <w:rFonts w:ascii="Arial" w:hAnsi="Arial" w:cs="Arial"/>
          <w:color w:val="auto"/>
          <w:sz w:val="22"/>
          <w:szCs w:val="22"/>
        </w:rPr>
        <w:t xml:space="preserve">(regardless of </w:t>
      </w:r>
      <w:r w:rsidRPr="00CF06A2">
        <w:rPr>
          <w:rFonts w:ascii="Arial" w:hAnsi="Arial" w:cs="Arial"/>
          <w:color w:val="auto"/>
          <w:sz w:val="22"/>
          <w:szCs w:val="22"/>
        </w:rPr>
        <w:t xml:space="preserve">any contractual </w:t>
      </w:r>
      <w:r w:rsidR="006B2BA1" w:rsidRPr="00CF06A2">
        <w:rPr>
          <w:rFonts w:ascii="Arial" w:hAnsi="Arial" w:cs="Arial"/>
          <w:color w:val="auto"/>
          <w:sz w:val="22"/>
          <w:szCs w:val="22"/>
        </w:rPr>
        <w:t>review date)</w:t>
      </w:r>
      <w:r w:rsidRPr="00CF06A2">
        <w:rPr>
          <w:rFonts w:ascii="Arial" w:hAnsi="Arial" w:cs="Arial"/>
          <w:color w:val="auto"/>
          <w:sz w:val="22"/>
          <w:szCs w:val="22"/>
        </w:rPr>
        <w:t>.</w:t>
      </w:r>
      <w:r w:rsidR="00E341D8" w:rsidRPr="00CF06A2">
        <w:rPr>
          <w:rFonts w:ascii="Arial" w:hAnsi="Arial" w:cs="Arial"/>
          <w:color w:val="auto"/>
          <w:sz w:val="22"/>
          <w:szCs w:val="22"/>
        </w:rPr>
        <w:t xml:space="preserve"> </w:t>
      </w:r>
    </w:p>
    <w:p w14:paraId="2BDC79EC" w14:textId="77777777" w:rsidR="009E0B25" w:rsidRDefault="009E0B25" w:rsidP="006B2BA1">
      <w:pPr>
        <w:pStyle w:val="Default"/>
        <w:rPr>
          <w:rFonts w:ascii="Arial" w:hAnsi="Arial" w:cs="Arial"/>
          <w:color w:val="auto"/>
          <w:sz w:val="22"/>
          <w:szCs w:val="22"/>
        </w:rPr>
      </w:pPr>
    </w:p>
    <w:p w14:paraId="1CD41C85" w14:textId="2F389B72" w:rsidR="009E0B25" w:rsidRPr="0027101E" w:rsidRDefault="009E0B25" w:rsidP="009E0B25">
      <w:pPr>
        <w:overflowPunct/>
        <w:autoSpaceDE/>
        <w:autoSpaceDN/>
        <w:adjustRightInd/>
        <w:textAlignment w:val="auto"/>
        <w:rPr>
          <w:rFonts w:ascii="Arial" w:hAnsi="Arial" w:cs="Arial"/>
          <w:sz w:val="22"/>
          <w:szCs w:val="22"/>
        </w:rPr>
      </w:pPr>
      <w:r w:rsidRPr="0027101E">
        <w:rPr>
          <w:rFonts w:ascii="Arial" w:eastAsiaTheme="minorHAnsi" w:hAnsi="Arial" w:cs="Arial"/>
          <w:sz w:val="22"/>
          <w:szCs w:val="21"/>
        </w:rPr>
        <w:t xml:space="preserve">Where a right-to-use asset’s rent comprises a base rent plus a variable payment based on factors such as sales or usage, such variable payments are not included in measurement of the liability or asset value under IFRS 16, regardless of which measurement model is applied.   It is only the 'base rent' (including any payments linked to indices or rates) that needs to be considered.  </w:t>
      </w:r>
    </w:p>
    <w:p w14:paraId="571D291A" w14:textId="77777777" w:rsidR="003B4951" w:rsidRPr="00CF06A2" w:rsidRDefault="003B4951" w:rsidP="003B4951">
      <w:pPr>
        <w:pStyle w:val="Default"/>
        <w:rPr>
          <w:rFonts w:ascii="Arial" w:hAnsi="Arial" w:cs="Arial"/>
          <w:sz w:val="22"/>
          <w:szCs w:val="22"/>
        </w:rPr>
      </w:pPr>
    </w:p>
    <w:p w14:paraId="14BEA257" w14:textId="77777777" w:rsidR="00785C4B" w:rsidRPr="00CF06A2" w:rsidRDefault="00D06AB2" w:rsidP="003B4951">
      <w:pPr>
        <w:pStyle w:val="Default"/>
        <w:rPr>
          <w:rFonts w:ascii="Arial" w:hAnsi="Arial" w:cs="Arial"/>
          <w:b/>
          <w:sz w:val="22"/>
          <w:szCs w:val="22"/>
        </w:rPr>
      </w:pPr>
      <w:r w:rsidRPr="00CF06A2">
        <w:rPr>
          <w:rFonts w:ascii="Arial" w:hAnsi="Arial" w:cs="Arial"/>
          <w:b/>
          <w:sz w:val="22"/>
          <w:szCs w:val="22"/>
        </w:rPr>
        <w:t>Lessors</w:t>
      </w:r>
    </w:p>
    <w:p w14:paraId="7066998D" w14:textId="77777777" w:rsidR="00A053FD" w:rsidRPr="00CF06A2" w:rsidRDefault="00A053FD" w:rsidP="006B2BA1">
      <w:pPr>
        <w:pStyle w:val="Default"/>
        <w:rPr>
          <w:rFonts w:ascii="Arial" w:hAnsi="Arial" w:cs="Arial"/>
          <w:sz w:val="22"/>
          <w:szCs w:val="22"/>
        </w:rPr>
      </w:pPr>
    </w:p>
    <w:p w14:paraId="2B1DAE09" w14:textId="77777777" w:rsidR="006A7254" w:rsidRPr="00CF06A2" w:rsidRDefault="00160183" w:rsidP="006B2BA1">
      <w:pPr>
        <w:pStyle w:val="Default"/>
        <w:rPr>
          <w:rFonts w:ascii="Arial" w:hAnsi="Arial" w:cs="Arial"/>
          <w:color w:val="1F4E79" w:themeColor="accent1" w:themeShade="80"/>
          <w:sz w:val="22"/>
          <w:szCs w:val="22"/>
        </w:rPr>
      </w:pPr>
      <w:r w:rsidRPr="00CF06A2">
        <w:rPr>
          <w:rFonts w:ascii="Arial" w:hAnsi="Arial" w:cs="Arial"/>
          <w:sz w:val="22"/>
          <w:szCs w:val="22"/>
        </w:rPr>
        <w:t xml:space="preserve">IFRS 16 substantially carries forward the existing lessor accounting requirements in IAS 17 with lessors continuing to classify their leases as either operating leases or finance leases.  </w:t>
      </w:r>
    </w:p>
    <w:p w14:paraId="2CAA53D5" w14:textId="77777777" w:rsidR="006A7254" w:rsidRPr="003D1079" w:rsidRDefault="006A7254" w:rsidP="006A7254">
      <w:pPr>
        <w:pStyle w:val="Default"/>
        <w:rPr>
          <w:rFonts w:ascii="Arial" w:hAnsi="Arial" w:cs="Arial"/>
          <w:color w:val="1F4E79" w:themeColor="accent1" w:themeShade="80"/>
          <w:sz w:val="22"/>
          <w:szCs w:val="22"/>
        </w:rPr>
      </w:pPr>
    </w:p>
    <w:p w14:paraId="1D5ECD93" w14:textId="77777777" w:rsidR="00FE0E02" w:rsidRPr="003D1079" w:rsidRDefault="00FE0E02">
      <w:pPr>
        <w:rPr>
          <w:color w:val="1F4E79" w:themeColor="accent1" w:themeShade="80"/>
        </w:rPr>
      </w:pPr>
    </w:p>
    <w:sectPr w:rsidR="00FE0E02" w:rsidRPr="003D1079">
      <w:pgSz w:w="11909" w:h="16834"/>
      <w:pgMar w:top="1418" w:right="1418" w:bottom="1418" w:left="1418" w:header="284" w:footer="142" w:gutter="0"/>
      <w:cols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Lt BT">
    <w:altName w:val="Lucida Sans Unicode"/>
    <w:charset w:val="00"/>
    <w:family w:val="swiss"/>
    <w:pitch w:val="variable"/>
    <w:sig w:usb0="00000001" w:usb1="1000204A" w:usb2="00000000" w:usb3="00000000" w:csb0="0000001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052842"/>
    <w:multiLevelType w:val="hybridMultilevel"/>
    <w:tmpl w:val="B262E9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D544DF"/>
    <w:multiLevelType w:val="hybridMultilevel"/>
    <w:tmpl w:val="622E00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E300DE"/>
    <w:multiLevelType w:val="hybridMultilevel"/>
    <w:tmpl w:val="0A708D2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E04E67"/>
    <w:multiLevelType w:val="hybridMultilevel"/>
    <w:tmpl w:val="AB00E0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48BD53B"/>
    <w:multiLevelType w:val="hybridMultilevel"/>
    <w:tmpl w:val="D0F669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A19674A"/>
    <w:multiLevelType w:val="hybridMultilevel"/>
    <w:tmpl w:val="86F678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FCE7026"/>
    <w:multiLevelType w:val="hybridMultilevel"/>
    <w:tmpl w:val="568CE4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FE82312"/>
    <w:multiLevelType w:val="hybridMultilevel"/>
    <w:tmpl w:val="ACEE10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718B1A"/>
    <w:multiLevelType w:val="hybridMultilevel"/>
    <w:tmpl w:val="76A62E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BB10DFB"/>
    <w:multiLevelType w:val="hybridMultilevel"/>
    <w:tmpl w:val="AECD10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23119F"/>
    <w:multiLevelType w:val="hybridMultilevel"/>
    <w:tmpl w:val="2175A0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8F9448E"/>
    <w:multiLevelType w:val="hybridMultilevel"/>
    <w:tmpl w:val="6966F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A8880"/>
    <w:multiLevelType w:val="hybridMultilevel"/>
    <w:tmpl w:val="9F9670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2037E0"/>
    <w:multiLevelType w:val="hybridMultilevel"/>
    <w:tmpl w:val="96166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EC808"/>
    <w:multiLevelType w:val="hybridMultilevel"/>
    <w:tmpl w:val="4D6A33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9E9039B"/>
    <w:multiLevelType w:val="hybridMultilevel"/>
    <w:tmpl w:val="055E3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AD250"/>
    <w:multiLevelType w:val="hybridMultilevel"/>
    <w:tmpl w:val="7DF76D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52372CC"/>
    <w:multiLevelType w:val="hybridMultilevel"/>
    <w:tmpl w:val="C73C51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C65387"/>
    <w:multiLevelType w:val="hybridMultilevel"/>
    <w:tmpl w:val="5402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2782A"/>
    <w:multiLevelType w:val="hybridMultilevel"/>
    <w:tmpl w:val="7AB6B0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D7E4DF1"/>
    <w:multiLevelType w:val="hybridMultilevel"/>
    <w:tmpl w:val="A6B4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A1335"/>
    <w:multiLevelType w:val="hybridMultilevel"/>
    <w:tmpl w:val="F70A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D9473A"/>
    <w:multiLevelType w:val="hybridMultilevel"/>
    <w:tmpl w:val="2DDF9E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B533536"/>
    <w:multiLevelType w:val="hybridMultilevel"/>
    <w:tmpl w:val="41B33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FCB6EAD"/>
    <w:multiLevelType w:val="hybridMultilevel"/>
    <w:tmpl w:val="757A5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BF9DE8"/>
    <w:multiLevelType w:val="hybridMultilevel"/>
    <w:tmpl w:val="522C10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FDA4215"/>
    <w:multiLevelType w:val="hybridMultilevel"/>
    <w:tmpl w:val="E9FC1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63D16B"/>
    <w:multiLevelType w:val="hybridMultilevel"/>
    <w:tmpl w:val="8B19AE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8AD7384"/>
    <w:multiLevelType w:val="hybridMultilevel"/>
    <w:tmpl w:val="697888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B0B6086"/>
    <w:multiLevelType w:val="hybridMultilevel"/>
    <w:tmpl w:val="6458FA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FD43D97"/>
    <w:multiLevelType w:val="hybridMultilevel"/>
    <w:tmpl w:val="0D64F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3"/>
  </w:num>
  <w:num w:numId="4">
    <w:abstractNumId w:val="11"/>
  </w:num>
  <w:num w:numId="5">
    <w:abstractNumId w:val="3"/>
  </w:num>
  <w:num w:numId="6">
    <w:abstractNumId w:val="15"/>
  </w:num>
  <w:num w:numId="7">
    <w:abstractNumId w:val="26"/>
  </w:num>
  <w:num w:numId="8">
    <w:abstractNumId w:val="0"/>
  </w:num>
  <w:num w:numId="9">
    <w:abstractNumId w:val="17"/>
  </w:num>
  <w:num w:numId="10">
    <w:abstractNumId w:val="2"/>
  </w:num>
  <w:num w:numId="11">
    <w:abstractNumId w:val="18"/>
  </w:num>
  <w:num w:numId="12">
    <w:abstractNumId w:val="21"/>
  </w:num>
  <w:num w:numId="13">
    <w:abstractNumId w:val="22"/>
  </w:num>
  <w:num w:numId="14">
    <w:abstractNumId w:val="14"/>
  </w:num>
  <w:num w:numId="15">
    <w:abstractNumId w:val="10"/>
  </w:num>
  <w:num w:numId="16">
    <w:abstractNumId w:val="28"/>
  </w:num>
  <w:num w:numId="17">
    <w:abstractNumId w:val="9"/>
  </w:num>
  <w:num w:numId="18">
    <w:abstractNumId w:val="29"/>
  </w:num>
  <w:num w:numId="19">
    <w:abstractNumId w:val="6"/>
  </w:num>
  <w:num w:numId="20">
    <w:abstractNumId w:val="5"/>
  </w:num>
  <w:num w:numId="21">
    <w:abstractNumId w:val="27"/>
  </w:num>
  <w:num w:numId="22">
    <w:abstractNumId w:val="7"/>
  </w:num>
  <w:num w:numId="23">
    <w:abstractNumId w:val="12"/>
  </w:num>
  <w:num w:numId="24">
    <w:abstractNumId w:val="16"/>
  </w:num>
  <w:num w:numId="25">
    <w:abstractNumId w:val="8"/>
  </w:num>
  <w:num w:numId="26">
    <w:abstractNumId w:val="23"/>
  </w:num>
  <w:num w:numId="27">
    <w:abstractNumId w:val="19"/>
  </w:num>
  <w:num w:numId="28">
    <w:abstractNumId w:val="20"/>
  </w:num>
  <w:num w:numId="29">
    <w:abstractNumId w:val="30"/>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106"/>
  <w:displayHorizontalDrawingGridEvery w:val="2"/>
  <w:displayVerticalDrawingGridEvery w:val="2"/>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E43"/>
    <w:rsid w:val="000167A8"/>
    <w:rsid w:val="000A1EE1"/>
    <w:rsid w:val="000B3B05"/>
    <w:rsid w:val="000B6031"/>
    <w:rsid w:val="00115EF4"/>
    <w:rsid w:val="00144B2C"/>
    <w:rsid w:val="00145954"/>
    <w:rsid w:val="00160183"/>
    <w:rsid w:val="00160AEE"/>
    <w:rsid w:val="001739E3"/>
    <w:rsid w:val="001776C9"/>
    <w:rsid w:val="001A016D"/>
    <w:rsid w:val="001B7ECE"/>
    <w:rsid w:val="001E4E43"/>
    <w:rsid w:val="001E7375"/>
    <w:rsid w:val="001F4333"/>
    <w:rsid w:val="001F467D"/>
    <w:rsid w:val="00247A77"/>
    <w:rsid w:val="00255662"/>
    <w:rsid w:val="00261B00"/>
    <w:rsid w:val="00263507"/>
    <w:rsid w:val="00267594"/>
    <w:rsid w:val="00267DB6"/>
    <w:rsid w:val="0027101E"/>
    <w:rsid w:val="00295739"/>
    <w:rsid w:val="002A3B67"/>
    <w:rsid w:val="002C0C2B"/>
    <w:rsid w:val="002D12CA"/>
    <w:rsid w:val="002D7D8C"/>
    <w:rsid w:val="002F6AD2"/>
    <w:rsid w:val="00330280"/>
    <w:rsid w:val="00334B9A"/>
    <w:rsid w:val="00344115"/>
    <w:rsid w:val="00372FDA"/>
    <w:rsid w:val="003B428F"/>
    <w:rsid w:val="003B4951"/>
    <w:rsid w:val="003D1079"/>
    <w:rsid w:val="003D781C"/>
    <w:rsid w:val="00421E24"/>
    <w:rsid w:val="004C0C25"/>
    <w:rsid w:val="004C1B42"/>
    <w:rsid w:val="004D2F52"/>
    <w:rsid w:val="004E594F"/>
    <w:rsid w:val="005032F7"/>
    <w:rsid w:val="005039AF"/>
    <w:rsid w:val="00550A6C"/>
    <w:rsid w:val="00551C51"/>
    <w:rsid w:val="00563398"/>
    <w:rsid w:val="00570167"/>
    <w:rsid w:val="00581E88"/>
    <w:rsid w:val="00595A17"/>
    <w:rsid w:val="006207DC"/>
    <w:rsid w:val="00623F5A"/>
    <w:rsid w:val="00634AD9"/>
    <w:rsid w:val="00643067"/>
    <w:rsid w:val="006554D7"/>
    <w:rsid w:val="006628A0"/>
    <w:rsid w:val="00674E07"/>
    <w:rsid w:val="006906BE"/>
    <w:rsid w:val="006A7254"/>
    <w:rsid w:val="006B2BA1"/>
    <w:rsid w:val="006E6E79"/>
    <w:rsid w:val="006F679F"/>
    <w:rsid w:val="007071CE"/>
    <w:rsid w:val="00720CBF"/>
    <w:rsid w:val="007243BD"/>
    <w:rsid w:val="007258AB"/>
    <w:rsid w:val="00727F14"/>
    <w:rsid w:val="007440F9"/>
    <w:rsid w:val="00785C4B"/>
    <w:rsid w:val="007E1EB7"/>
    <w:rsid w:val="008654DA"/>
    <w:rsid w:val="00890B0C"/>
    <w:rsid w:val="008D4CC0"/>
    <w:rsid w:val="008E3B2A"/>
    <w:rsid w:val="00914792"/>
    <w:rsid w:val="0091662E"/>
    <w:rsid w:val="00934AD0"/>
    <w:rsid w:val="0094345C"/>
    <w:rsid w:val="00970F52"/>
    <w:rsid w:val="0098208D"/>
    <w:rsid w:val="009912B0"/>
    <w:rsid w:val="0099473C"/>
    <w:rsid w:val="009C4E1F"/>
    <w:rsid w:val="009D273B"/>
    <w:rsid w:val="009D7B58"/>
    <w:rsid w:val="009E0B25"/>
    <w:rsid w:val="009E18F4"/>
    <w:rsid w:val="00A053FD"/>
    <w:rsid w:val="00A058B3"/>
    <w:rsid w:val="00A22FFD"/>
    <w:rsid w:val="00AB3751"/>
    <w:rsid w:val="00AF0A8B"/>
    <w:rsid w:val="00B00CD4"/>
    <w:rsid w:val="00B1121B"/>
    <w:rsid w:val="00B215AB"/>
    <w:rsid w:val="00B31816"/>
    <w:rsid w:val="00B77AC4"/>
    <w:rsid w:val="00B82C33"/>
    <w:rsid w:val="00BB3A0B"/>
    <w:rsid w:val="00BC7403"/>
    <w:rsid w:val="00BE5F83"/>
    <w:rsid w:val="00BF3857"/>
    <w:rsid w:val="00C43CB3"/>
    <w:rsid w:val="00C5185C"/>
    <w:rsid w:val="00CE582B"/>
    <w:rsid w:val="00CF06A2"/>
    <w:rsid w:val="00D01AC1"/>
    <w:rsid w:val="00D06AB2"/>
    <w:rsid w:val="00D14D39"/>
    <w:rsid w:val="00D26B31"/>
    <w:rsid w:val="00D3738E"/>
    <w:rsid w:val="00D4196B"/>
    <w:rsid w:val="00D5277A"/>
    <w:rsid w:val="00D62DDF"/>
    <w:rsid w:val="00DB0099"/>
    <w:rsid w:val="00DC0F12"/>
    <w:rsid w:val="00E05E8F"/>
    <w:rsid w:val="00E25CC3"/>
    <w:rsid w:val="00E341D8"/>
    <w:rsid w:val="00E35021"/>
    <w:rsid w:val="00E41A44"/>
    <w:rsid w:val="00E670E2"/>
    <w:rsid w:val="00E72AC8"/>
    <w:rsid w:val="00E72DB9"/>
    <w:rsid w:val="00E72FEE"/>
    <w:rsid w:val="00E86D0C"/>
    <w:rsid w:val="00EA6F93"/>
    <w:rsid w:val="00ED01BE"/>
    <w:rsid w:val="00ED155F"/>
    <w:rsid w:val="00ED40EB"/>
    <w:rsid w:val="00EF39E3"/>
    <w:rsid w:val="00F55089"/>
    <w:rsid w:val="00F745BB"/>
    <w:rsid w:val="00F91B02"/>
    <w:rsid w:val="00FE0E02"/>
    <w:rsid w:val="00FE1139"/>
    <w:rsid w:val="00FF1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4E01D"/>
  <w15:chartTrackingRefBased/>
  <w15:docId w15:val="{C3078121-029A-444C-860B-C0548B879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Default">
    <w:name w:val="Default"/>
    <w:rsid w:val="001E4E43"/>
    <w:pPr>
      <w:autoSpaceDE w:val="0"/>
      <w:autoSpaceDN w:val="0"/>
      <w:adjustRightInd w:val="0"/>
    </w:pPr>
    <w:rPr>
      <w:rFonts w:ascii="Humnst777 Lt BT" w:hAnsi="Humnst777 Lt BT" w:cs="Humnst777 Lt BT"/>
      <w:color w:val="000000"/>
      <w:sz w:val="24"/>
      <w:szCs w:val="24"/>
    </w:rPr>
  </w:style>
  <w:style w:type="paragraph" w:styleId="ListParagraph">
    <w:name w:val="List Paragraph"/>
    <w:basedOn w:val="Normal"/>
    <w:uiPriority w:val="34"/>
    <w:qFormat/>
    <w:rsid w:val="00421E24"/>
    <w:pPr>
      <w:ind w:left="720"/>
      <w:contextualSpacing/>
    </w:pPr>
  </w:style>
  <w:style w:type="character" w:styleId="Hyperlink">
    <w:name w:val="Hyperlink"/>
    <w:basedOn w:val="DefaultParagraphFont"/>
    <w:uiPriority w:val="99"/>
    <w:unhideWhenUsed/>
    <w:rsid w:val="00890B0C"/>
    <w:rPr>
      <w:color w:val="0563C1" w:themeColor="hyperlink"/>
      <w:u w:val="single"/>
    </w:rPr>
  </w:style>
  <w:style w:type="paragraph" w:styleId="PlainText">
    <w:name w:val="Plain Text"/>
    <w:basedOn w:val="Normal"/>
    <w:link w:val="PlainTextChar"/>
    <w:uiPriority w:val="99"/>
    <w:unhideWhenUsed/>
    <w:rsid w:val="00890B0C"/>
    <w:pPr>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90B0C"/>
    <w:rPr>
      <w:rFonts w:ascii="Calibri" w:eastAsiaTheme="minorHAnsi" w:hAnsi="Calibri" w:cstheme="minorBidi"/>
      <w:sz w:val="22"/>
      <w:szCs w:val="21"/>
      <w:lang w:eastAsia="en-US"/>
    </w:rPr>
  </w:style>
  <w:style w:type="paragraph" w:styleId="BalloonText">
    <w:name w:val="Balloon Text"/>
    <w:basedOn w:val="Normal"/>
    <w:link w:val="BalloonTextChar"/>
    <w:rsid w:val="004E594F"/>
    <w:rPr>
      <w:rFonts w:ascii="Segoe UI" w:hAnsi="Segoe UI" w:cs="Segoe UI"/>
      <w:sz w:val="18"/>
      <w:szCs w:val="18"/>
    </w:rPr>
  </w:style>
  <w:style w:type="character" w:customStyle="1" w:styleId="BalloonTextChar">
    <w:name w:val="Balloon Text Char"/>
    <w:basedOn w:val="DefaultParagraphFont"/>
    <w:link w:val="BalloonText"/>
    <w:rsid w:val="004E594F"/>
    <w:rPr>
      <w:rFonts w:ascii="Segoe UI" w:hAnsi="Segoe UI" w:cs="Segoe UI"/>
      <w:sz w:val="18"/>
      <w:szCs w:val="18"/>
      <w:lang w:eastAsia="en-US"/>
    </w:rPr>
  </w:style>
  <w:style w:type="character" w:styleId="FollowedHyperlink">
    <w:name w:val="FollowedHyperlink"/>
    <w:basedOn w:val="DefaultParagraphFont"/>
    <w:rsid w:val="006207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547930">
      <w:bodyDiv w:val="1"/>
      <w:marLeft w:val="0"/>
      <w:marRight w:val="0"/>
      <w:marTop w:val="0"/>
      <w:marBottom w:val="0"/>
      <w:divBdr>
        <w:top w:val="none" w:sz="0" w:space="0" w:color="auto"/>
        <w:left w:val="none" w:sz="0" w:space="0" w:color="auto"/>
        <w:bottom w:val="none" w:sz="0" w:space="0" w:color="auto"/>
        <w:right w:val="none" w:sz="0" w:space="0" w:color="auto"/>
      </w:divBdr>
    </w:div>
    <w:div w:id="102571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uk/government/publications/government-financial-reporting-manual-application-guidan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30C32-C1BC-41EC-9088-B931434CC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VOA</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Stalker, Graham W</dc:creator>
  <cp:keywords/>
  <dc:description/>
  <cp:lastModifiedBy>David Tretton</cp:lastModifiedBy>
  <cp:revision>2</cp:revision>
  <cp:lastPrinted>2019-05-10T08:27:00Z</cp:lastPrinted>
  <dcterms:created xsi:type="dcterms:W3CDTF">2019-07-09T15:09:00Z</dcterms:created>
  <dcterms:modified xsi:type="dcterms:W3CDTF">2019-07-09T15:09:00Z</dcterms:modified>
</cp:coreProperties>
</file>